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hint="eastAsia" w:ascii="微软雅黑" w:hAnsi="微软雅黑" w:eastAsia="微软雅黑" w:cs="微软雅黑"/>
          <w:b w:val="0"/>
          <w:bCs w:val="0"/>
          <w:i w:val="0"/>
          <w:iCs w:val="0"/>
          <w:caps w:val="0"/>
          <w:color w:val="333333"/>
          <w:spacing w:val="0"/>
          <w:sz w:val="36"/>
          <w:szCs w:val="36"/>
          <w:shd w:val="clear" w:fill="FFFFFF"/>
        </w:rPr>
      </w:pPr>
      <w:r>
        <w:rPr>
          <w:rFonts w:hint="eastAsia" w:ascii="微软雅黑" w:hAnsi="微软雅黑" w:eastAsia="微软雅黑" w:cs="微软雅黑"/>
          <w:b w:val="0"/>
          <w:bCs w:val="0"/>
          <w:i w:val="0"/>
          <w:iCs w:val="0"/>
          <w:caps w:val="0"/>
          <w:color w:val="333333"/>
          <w:spacing w:val="0"/>
          <w:sz w:val="36"/>
          <w:szCs w:val="36"/>
          <w:shd w:val="clear" w:fill="FFFFFF"/>
        </w:rPr>
        <w:t>民政部关于贯彻落实《国务院关于进一步健全特困人员救助供养制度的意见》的通知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ascii="微软雅黑" w:hAnsi="微软雅黑" w:eastAsia="微软雅黑" w:cs="微软雅黑"/>
          <w:b w:val="0"/>
          <w:bCs w:val="0"/>
          <w:i w:val="0"/>
          <w:iCs w:val="0"/>
          <w:caps w:val="0"/>
          <w:color w:val="333333"/>
          <w:spacing w:val="0"/>
          <w:sz w:val="36"/>
          <w:szCs w:val="36"/>
        </w:rPr>
      </w:pPr>
      <w:bookmarkStart w:id="0" w:name="_GoBack"/>
      <w:r>
        <w:rPr>
          <w:rFonts w:hint="eastAsia" w:ascii="微软雅黑" w:hAnsi="微软雅黑" w:eastAsia="微软雅黑" w:cs="微软雅黑"/>
          <w:b w:val="0"/>
          <w:bCs w:val="0"/>
          <w:i w:val="0"/>
          <w:iCs w:val="0"/>
          <w:caps w:val="0"/>
          <w:color w:val="333333"/>
          <w:spacing w:val="0"/>
          <w:sz w:val="36"/>
          <w:szCs w:val="36"/>
          <w:shd w:val="clear" w:fill="FFFFFF"/>
        </w:rPr>
        <w:t>（民发〔2016〕115号）</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各省、自治区、直辖市民政厅（局），各计划单列市民政局，新疆生产建设兵团民政局：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国务院印发《关于进一步健全特困人员救助供养制度的意见》（国发〔2016〕14号，以下简称《意见》），对做好新形势下的特困人员救助供养工作做出了系统安排，为深入贯彻落实《意见》精神，现就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w:t>
      </w:r>
      <w:r>
        <w:rPr>
          <w:rStyle w:val="6"/>
          <w:rFonts w:hint="eastAsia" w:ascii="微软雅黑" w:hAnsi="微软雅黑" w:eastAsia="微软雅黑" w:cs="微软雅黑"/>
          <w:b/>
          <w:bCs/>
          <w:i w:val="0"/>
          <w:iCs w:val="0"/>
          <w:caps w:val="0"/>
          <w:color w:val="040404"/>
          <w:spacing w:val="0"/>
          <w:sz w:val="16"/>
          <w:szCs w:val="16"/>
          <w:shd w:val="clear" w:fill="FFFFFF"/>
        </w:rPr>
        <w:t>一、充分认识贯彻落实《意见》的重大意义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特困人员没有劳动能力，没有生活来源，也没有法定赡养抚养扶养义务人或者其法定义务人无履行义务能力，是我国现阶段最困难、最脆弱的人群。为城乡特困人员提供制度化的基本生活保障和照料护理服务，是落实《社会救助暂行办法》的具体举措，是完善社会救助体系、编密织牢基本民生安全网的重要内容，对于坚持共享发展理念、保障和改善民生、如期实现全面建成小康社会奋斗目标具有十分重要的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各级民政部门要结合贯彻落实党的十八届三中、四中、五中全会精神和习近平总书记系列重要讲话精神，站在保持党和人民群众血肉联系、发挥中国特色社会主义制度优势的高度，充分认识贯彻落实《意见》的重大意义，切实增强责任感、使命感和紧迫感。要全面理解、准确把握《意见》的基本精神和主要内容，将贯彻落实好《意见》精神作为打赢脱贫攻坚战的重要任务和举措抓紧抓好，坚持城乡统筹，强化托底保障，优化服务供给，落实精准救助，切实维护好城乡特困人员的基本生活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w:t>
      </w:r>
      <w:r>
        <w:rPr>
          <w:rStyle w:val="6"/>
          <w:rFonts w:hint="eastAsia" w:ascii="微软雅黑" w:hAnsi="微软雅黑" w:eastAsia="微软雅黑" w:cs="微软雅黑"/>
          <w:b/>
          <w:bCs/>
          <w:i w:val="0"/>
          <w:iCs w:val="0"/>
          <w:caps w:val="0"/>
          <w:color w:val="040404"/>
          <w:spacing w:val="0"/>
          <w:sz w:val="16"/>
          <w:szCs w:val="16"/>
          <w:shd w:val="clear" w:fill="FFFFFF"/>
        </w:rPr>
        <w:t>二、全面把握贯彻落实《意见》的重点任务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各地要根据《意见》要求，结合实际，突出重点，抓紧完善相关配套政策，确保《意见》的有关规定落到实处。特困人员救助供养已经实现城乡统筹的地方，要按照《意见》要求，重点在标准制定、供养服务供给等方面进一步调整完善现有政策；尚未实现城乡统筹的地方，要抓紧健全制度、完善政策、理顺体制、建立机制，尽快部署实施城乡统一的特困人员救助供养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一）健全完善对象认定条件。各地要进一步细化特困人员“三无”认定条件，可根据申请人的年龄、残疾等级和罹患重病等情况，确定其有无劳动能力；根据申请人的收入是否足以维持其基本生活、财产状况及使用情况等，确定其有无生活来源；根据申请人的法定赡养抚养扶养义务人身体状况、家庭经济状况以及与申请人生活关联情况等，确定其是否具备赡养、抚养或扶养能力。客观评估特困人员生活自理能力。可按照直观、简便、易操作的原则，参照国际通行标准和《劳动能力鉴定 职工工伤与职业病致残等级》(GB/T 16180－2014)、《老年人能力评估》（MZ/T 039—2013）等有关标准，运用是否具备自主吃饭、穿衣、上下床、如厕、室内行走、洗澡能力等6项指标评估特困人员生活自理能力。6项都能自主完成的，可认定为具备生活自理能力；有1-3项不能自主完成的，可认定为部分丧失生活自理能力；有4项以上（含4项）不能自主完成的，可认定为完全丧失生活自理能力。各地要积极探索委托医疗卫生机构、第三方专业机构等开展特困人员生活自理能力评估。尊重基层首创精神，坚持从实际出发，认真总结以往工作实践中切实可行的特困人员认定做法，并及时上升为政策规定。民政部将在总结地方经验、做法的基础上，适时出台特困人员认定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二）科学制定救助供养标准。按照《意见》要求，特困人员救助供养标准包括基本生活标准和照料护理标准两部分。各地要按照“分类定标、差异服务”的思路，根据特困人员基本生活需求和照料护理需求，合理确定救助供养标准。基本生活标准应当满足特困人员基本生活所需，一般可参照上年度当地居民人均消费支出、人均可支配收入或低保标准的一定比例确定，原则上应不低于当地低保标准的1.3倍。照料护理标准应当按照差异化服务原则，依据特困人员生活自理能力和服务需求分档制定，一般可分为三档，参照当地日常生活照料、养老机构护理费用或当地最低工资标准的一定比例确定。救助供养标准要与当地经济社会发展相适应，遵循托底、适度原则，适时调整。省级民政部门要加强对标准制定的统筹和指导，鼓励有条件的省份研究制定全省统一的救助供养标准或指导标准，逐步推进城乡统筹、区域统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三）落实审核审批主体责任。各地要进一步规范特困人员认定程序，强化审核、审批等关键环节的主体责任。县级人民政府民政部门要指导乡镇人民政府（街道办事处）做好特困人员救助供养申请的受理及调查核实工作，及时提出审核意见；指导乡镇人民政府（街道办事处）以及村（居）民委员会根据日常了解掌握的辖区内居民生活情况，对符合条件的居民做好政策宣讲，对无民事行为能力等无法自主申请的，主动帮助其提出申请。县级人民政府民政部门要全面审查调查材料及审核意见，随机抽查核实，及时作出审批决定，并建立特困人员救助供养档案。规范救助供养终止程序，对不再符合救助供养条件的特困人员，村（居）民委员会或供养服务机构应及时告知乡镇人民政府（街道办事处），按规定启动终止程序，经乡镇人民政府（街道办事处）审核、县级人民政府民政部门审批后，终止救助供养并予以公示。终止救助供养后，符合最低生活保障或其他社会救助条件的，要及时纳入相应救助范围，确保其基本生活有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四）优化救助供养形式。各地要结合本地区特困人员集中供养工作现状，按照《民政事业发展第十三个五年规划》关于特困人员集中供养的总体要求和目标任务，制定年度实施计划，分解有关量化指标，明确具体工作措施，确保完全或部分丧失生活自理能力的特困人员优先到供养服务机构集中供养，获得稳定的生活照料。鼓励和支持具备生活自理能力的特困人员在家分散供养，可委托其亲友或村（居）民委员会、供养服务机构、社会组织等提供日常看护、生活照料、住院陪护等服务，继续探索推进家庭托养、寄养和社会助养，确保其“平日有人照应、生病有人看护”。有条件的地方，可为分散供养的特困人员提供无偿或低偿的社区日间照料服务。特困人员救助供养金中的照料护理费用，可由县级人民政府民政部门统筹用于购买特困人员照料护理服务。集中供养的，统一用于供养服务机构照料护理开支；分散供养的，由乡镇人民政府（街道办事处）按照委托照料服务协议，用于支付服务费用。县级人民政府民政部门要规范委托服务行为，明确协议中服务项目、费用标准、责任追究等内容；要指导乡镇人民政府（街道办事处）与受托方签订照料服务协议，并加强对协议履行情况的监督，督促约定服务事项落实到位。支持、引导社会工作服务机构和专业社会工作者为特困人员提供困难帮扶、社会融入、心理疏导、资源链接、社会康复、权益维护等专业服务，积极构建物质资金帮扶与心理社会支持相结合、基本照料服务与专业化个性化服务相配套的供养模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五）提升机构管理服务能力。各地要进一步明确政府设立的敬老院、福利院等供养服务机构的功能定位，强化为特困人员服务、满足特困人员集中供养需求的职责和义务，积极推动农村供养服务机构依法办理法人登记，充分发挥托底保障作用。要通过将供养服务机构建设纳入本地区“十三五”经济社会发展规划和社会养老服务体系建设等专项规划，加快推进农村特困人员供养服务机构建设改造和设施达标，重点加强对现有机构的改建、扩建和设施改造，使单张床位面积、无障碍设施改造、应急呼叫系统设置以及消防设备、安全监控系统等符合生活不能自理特困人员照料护理要求，不断提高机构托底保障能力。认真落实《意见》关于“根据服务对象人数和照料护理需求，按照一定比例配备工作人员”的要求，不断充实工作人员队伍，加强护理型服务人员配备，合理配备使用专业社会工作者。通过“引进来”、“送出去”、加强岗位培训等方式，吸引更多的专业人才投身特困人员供养服务，多渠道提升供养服务机构工作人员业务能力。建立健全供养服务机构建设和管理服务标准体系，以标准化建设促进供养服务机构服务能力和服务水平的提升。各省级民政部门要统筹规划本地区农村特困人员供养服务机构建设，增强其在老年人照料、护理方面的区域辐射功能，在满足特困人员集中供养需求的前提下，积极为农村其他低收入、高龄、独居和失能老年人提供养老服务。健全机构内部管理制度，研究制定特困人员照料服务标准，不断提高供养服务机构管理服务的规范化、标准化、专业化水平。鼓励采取公建民营、民办公助等方式，支持社会力量参与供养服务机构建设和运营。积极探索通过政府购买服务等方式向民办机构购买供养服务，满足特困人员多样化、个性化服务需求，统筹各方资源提高供养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六）加强资金保障和管理。各级民政部门要积极配合财政部门，按照属地管理原则，认真落实《意见》关于“县级以上地方人民政府要将政府设立的供养服务机构运转费用、特困人员救助供养所需资金列入财政预算”的要求，强化资金保障，根据特困人员救助供养标准做好资金需求测算，确保资金安排满足为特困人员提供基本生活保障和照料护理服务的需要。同时，积极拓宽资金筹集渠道，确保敬老院、福利院等供养服务机构正常运行。在分配中央下达的社会养老服务体系建设资金和各级彩票公益金时，要加大对农村特困人员供养服务机构投入力度，确保投入占比逐年提高。规范资金筹集、使用和管理，确保特困人员供养资金及时足额发放、机构运转费用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w:t>
      </w:r>
      <w:r>
        <w:rPr>
          <w:rStyle w:val="6"/>
          <w:rFonts w:hint="eastAsia" w:ascii="微软雅黑" w:hAnsi="微软雅黑" w:eastAsia="微软雅黑" w:cs="微软雅黑"/>
          <w:b/>
          <w:bCs/>
          <w:i w:val="0"/>
          <w:iCs w:val="0"/>
          <w:caps w:val="0"/>
          <w:color w:val="040404"/>
          <w:spacing w:val="0"/>
          <w:sz w:val="16"/>
          <w:szCs w:val="16"/>
          <w:shd w:val="clear" w:fill="FFFFFF"/>
        </w:rPr>
        <w:t>三、认真做好贯彻落实《意见》的相关工作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一）健全工作机制。各地要将特困人员救助供养工作列入政府重要议事日程,纳入本地区“十三五”经济社会发展规划，建立健全政府领导、民政牵头、部门配合、社会参与的工作机制。各级民政部门要切实履行主管部门职责，发挥好统筹协调作用，加强与财政、发展改革、卫生计生、教育、住房城乡建设、人力资源社会保障等部门的协调配合，形成工作合力。各级民政部门要加快健全和理顺特困人员救助供养工作管理体制，根据业务职能统一由内设社会救助部门归口管理，确保上下对口、高效联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二）加强督促检查。各地要加强对《意见》落实和特困人员救助供养工作的督促检查，总结推广好的经验做法，及时研究解决存在的突出问题。加快建立特困人员救助供养工作绩效评价机制，加强目标考核，合理运用评价结果，推动工作落实。民政部将会同有关部门适时开展绩效评价和专项检查，并按要求将结果报送中央组织部，作为对省级政府领导班子和有关领导干部综合考核评价的重要参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三）加强宣传培训。各地要结合学习贯彻《社会救助暂行办法》，组织开展业务培训，使各级社会救助工作人员、供养服务机构管理人员全面准确掌握政策、吃透精神、领会要求，切实将特困人员救助供养政策落到实处。要利用城乡社区公共服务综合信息平台、信息宣传栏、宣传册等群众喜闻乐见的途径和形式，加强特困人员救助供养政策宣传，不断提高政策知晓度，使群众了解政策、求助有门。坚持正确的舆论导向，充分发挥供养服务机构“窗口”作用，大力宣传社会救助工作成效和在救助供养工作中涌现的先进人物、感动故事，凝聚人心，汇聚力量，营造全社会关爱特困人员、支持社会救助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四）开展摸底排查。各地要抓紧对现有农村五保对象、城市“三无”人员，以及其他符合救助供养条件的困难群众开展一次全面摸底排查，将符合条件的全部纳入救助供养范围，综合评估其生活自理能力，详细了解其集中供养意愿，对完全或者部分丧失生活自理能力的，优先为其提供集中供养服务，做到应救尽救、应养尽养。要按照“一人一档案”的要求，全面建立特困人员分类管理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both"/>
        <w:rPr>
          <w:rFonts w:hint="eastAsia" w:ascii="微软雅黑" w:hAnsi="微软雅黑" w:eastAsia="微软雅黑" w:cs="微软雅黑"/>
          <w:i w:val="0"/>
          <w:iCs w:val="0"/>
          <w:caps w:val="0"/>
          <w:color w:val="040404"/>
          <w:spacing w:val="0"/>
          <w:sz w:val="16"/>
          <w:szCs w:val="16"/>
        </w:rPr>
      </w:pPr>
      <w:r>
        <w:rPr>
          <w:rFonts w:hint="eastAsia" w:ascii="微软雅黑" w:hAnsi="微软雅黑" w:eastAsia="微软雅黑" w:cs="微软雅黑"/>
          <w:i w:val="0"/>
          <w:iCs w:val="0"/>
          <w:caps w:val="0"/>
          <w:color w:val="040404"/>
          <w:spacing w:val="0"/>
          <w:sz w:val="16"/>
          <w:szCs w:val="16"/>
          <w:shd w:val="clear" w:fill="FFFFFF"/>
        </w:rPr>
        <w:t>　　各地贯彻落实《意见》的有关情况和出台的政策文件、重要工作信息等，请及时报民政部。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0NTVkMjcyMzg4NGVkN2FkMGEwNGRhZDY1NjcwZWYifQ=="/>
  </w:docVars>
  <w:rsids>
    <w:rsidRoot w:val="1C2C6DE9"/>
    <w:rsid w:val="0D6906CC"/>
    <w:rsid w:val="1C2C6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4597</Words>
  <Characters>4630</Characters>
  <Lines>0</Lines>
  <Paragraphs>0</Paragraphs>
  <TotalTime>0</TotalTime>
  <ScaleCrop>false</ScaleCrop>
  <LinksUpToDate>false</LinksUpToDate>
  <CharactersWithSpaces>4669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2022-12-09T01:47:00Z</dcterms:created>
  <dc:creator>Administrator</dc:creator>
  <cp:lastModifiedBy>青国公</cp:lastModifiedBy>
  <dcterms:modified xsi:type="dcterms:W3CDTF">2022-12-09T01:52:09Z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289FAD1531CD4B168B8E29DA7F965009</vt:lpwstr>
  </property>
</Properties>
</file>