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eastAsia" w:ascii="Times New Roman" w:hAnsi="Times New Roman" w:eastAsia="方正小标宋简体" w:cs="Times New Roman"/>
          <w:color w:val="000000"/>
          <w:kern w:val="0"/>
          <w:sz w:val="44"/>
          <w:szCs w:val="44"/>
          <w:lang w:val="en-US" w:eastAsia="zh-CN" w:bidi="ar"/>
        </w:rPr>
        <w:t>参与向</w:t>
      </w:r>
      <w:r>
        <w:rPr>
          <w:rFonts w:hint="default" w:ascii="Times New Roman" w:hAnsi="Times New Roman" w:eastAsia="方正小标宋简体" w:cs="Times New Roman"/>
          <w:color w:val="000000"/>
          <w:kern w:val="0"/>
          <w:sz w:val="44"/>
          <w:szCs w:val="44"/>
          <w:lang w:val="en-US" w:eastAsia="zh-CN" w:bidi="ar"/>
        </w:rPr>
        <w:t>中度以上失能老年人发放养老</w:t>
      </w:r>
      <w:r>
        <w:rPr>
          <w:rFonts w:hint="default" w:ascii="Times New Roman" w:hAnsi="Times New Roman" w:eastAsia="方正小标宋简体" w:cs="Times New Roman"/>
          <w:color w:val="000000"/>
          <w:kern w:val="0"/>
          <w:sz w:val="44"/>
          <w:szCs w:val="44"/>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2"/>
          <w:szCs w:val="32"/>
          <w:lang w:val="en-US"/>
        </w:rPr>
      </w:pPr>
      <w:bookmarkStart w:id="0" w:name="_GoBack"/>
      <w:bookmarkEnd w:id="0"/>
      <w:r>
        <w:rPr>
          <w:rFonts w:hint="default" w:ascii="Times New Roman" w:hAnsi="Times New Roman" w:eastAsia="方正小标宋简体" w:cs="Times New Roman"/>
          <w:color w:val="000000"/>
          <w:kern w:val="0"/>
          <w:sz w:val="44"/>
          <w:szCs w:val="44"/>
          <w:lang w:val="en-US" w:eastAsia="zh-CN" w:bidi="ar"/>
        </w:rPr>
        <w:t>消费补贴项目服务机构、评估机构要求</w:t>
      </w:r>
    </w:p>
    <w:p>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bidi="ar"/>
        </w:rPr>
      </w:pPr>
    </w:p>
    <w:p>
      <w:pPr>
        <w:keepNext w:val="0"/>
        <w:keepLines w:val="0"/>
        <w:widowControl/>
        <w:suppressLineNumbers w:val="0"/>
        <w:ind w:firstLine="640" w:firstLineChars="200"/>
        <w:jc w:val="left"/>
        <w:rPr>
          <w:rFonts w:hint="default" w:ascii="Times New Roman" w:hAnsi="Times New Roman" w:eastAsia="黑体" w:cs="Times New Roman"/>
          <w:color w:val="000000"/>
          <w:kern w:val="0"/>
          <w:sz w:val="32"/>
          <w:szCs w:val="32"/>
          <w:lang w:val="en-US" w:eastAsia="zh-CN" w:bidi="ar"/>
        </w:rPr>
      </w:pPr>
      <w:r>
        <w:rPr>
          <w:rFonts w:hint="eastAsia" w:ascii="Times New Roman" w:hAnsi="Times New Roman" w:eastAsia="黑体" w:cs="Times New Roman"/>
          <w:color w:val="000000"/>
          <w:kern w:val="0"/>
          <w:sz w:val="32"/>
          <w:szCs w:val="32"/>
          <w:lang w:val="en-US" w:eastAsia="zh-CN" w:bidi="ar"/>
        </w:rPr>
        <w:t>一、服务机构要求</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eastAsia" w:ascii="Times New Roman" w:hAnsi="Times New Roman" w:eastAsia="黑体" w:cs="Times New Roman"/>
          <w:color w:val="000000"/>
          <w:kern w:val="0"/>
          <w:sz w:val="32"/>
          <w:szCs w:val="32"/>
          <w:lang w:val="en-US" w:eastAsia="zh-CN" w:bidi="ar"/>
        </w:rPr>
        <w:t>（</w:t>
      </w:r>
      <w:r>
        <w:rPr>
          <w:rFonts w:hint="default" w:ascii="Times New Roman" w:hAnsi="Times New Roman" w:eastAsia="黑体" w:cs="Times New Roman"/>
          <w:color w:val="000000"/>
          <w:kern w:val="0"/>
          <w:sz w:val="32"/>
          <w:szCs w:val="32"/>
          <w:lang w:val="en-US" w:eastAsia="zh-CN" w:bidi="ar"/>
        </w:rPr>
        <w:t>一</w:t>
      </w:r>
      <w:r>
        <w:rPr>
          <w:rFonts w:hint="eastAsia" w:ascii="Times New Roman" w:hAnsi="Times New Roman" w:eastAsia="黑体" w:cs="Times New Roman"/>
          <w:color w:val="000000"/>
          <w:kern w:val="0"/>
          <w:sz w:val="32"/>
          <w:szCs w:val="32"/>
          <w:lang w:val="en-US" w:eastAsia="zh-CN" w:bidi="ar"/>
        </w:rPr>
        <w:t>）</w:t>
      </w:r>
      <w:r>
        <w:rPr>
          <w:rFonts w:hint="default" w:ascii="Times New Roman" w:hAnsi="Times New Roman" w:eastAsia="黑体" w:cs="Times New Roman"/>
          <w:color w:val="000000"/>
          <w:kern w:val="0"/>
          <w:sz w:val="32"/>
          <w:szCs w:val="32"/>
          <w:lang w:val="en-US" w:eastAsia="zh-CN" w:bidi="ar"/>
        </w:rPr>
        <w:t>提供机构服务的养老机构（长期服务、喘息服务、日间</w:t>
      </w:r>
      <w:r>
        <w:rPr>
          <w:rFonts w:hint="default" w:ascii="Times New Roman" w:hAnsi="Times New Roman" w:eastAsia="黑体" w:cs="Times New Roman"/>
          <w:color w:val="000000"/>
          <w:kern w:val="0"/>
          <w:sz w:val="32"/>
          <w:szCs w:val="32"/>
          <w:lang w:val="en-US" w:eastAsia="zh-CN" w:bidi="ar"/>
        </w:rPr>
        <w:t xml:space="preserve">托养）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1.依法办理登记并在民政部门备案，承诺严格执行法律法规</w:t>
      </w:r>
      <w:r>
        <w:rPr>
          <w:rFonts w:hint="default" w:ascii="Times New Roman" w:hAnsi="Times New Roman" w:eastAsia="仿宋_GB2312" w:cs="Times New Roman"/>
          <w:color w:val="000000"/>
          <w:kern w:val="0"/>
          <w:sz w:val="32"/>
          <w:szCs w:val="32"/>
          <w:lang w:val="en-US" w:eastAsia="zh-CN" w:bidi="ar"/>
        </w:rPr>
        <w:t xml:space="preserve">及《养老机构服务安全基本规范》（GB38600—2019）等强制性标准要求；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2.具有收住中度及以上失能老年人的服务能力（是指具备足够的护理型床位，采取养老机构内设医疗卫生机构、医疗卫生机构开展养老服务或养老机构、医疗卫生机构签约合作等方式提供医养结合服务）；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3.机构自愿参与、信誉良好，近一年内未被纳入失信联合惩戒对象名单；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4.其他设区的市人民政府民政部门认定的应具备的条件。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eastAsia" w:ascii="Times New Roman" w:hAnsi="Times New Roman" w:eastAsia="黑体" w:cs="Times New Roman"/>
          <w:color w:val="000000"/>
          <w:kern w:val="0"/>
          <w:sz w:val="32"/>
          <w:szCs w:val="32"/>
          <w:lang w:val="en-US" w:eastAsia="zh-CN" w:bidi="ar"/>
        </w:rPr>
        <w:t>（</w:t>
      </w:r>
      <w:r>
        <w:rPr>
          <w:rFonts w:hint="default" w:ascii="Times New Roman" w:hAnsi="Times New Roman" w:eastAsia="黑体" w:cs="Times New Roman"/>
          <w:color w:val="000000"/>
          <w:kern w:val="0"/>
          <w:sz w:val="32"/>
          <w:szCs w:val="32"/>
          <w:lang w:val="en-US" w:eastAsia="zh-CN" w:bidi="ar"/>
        </w:rPr>
        <w:t>二</w:t>
      </w:r>
      <w:r>
        <w:rPr>
          <w:rFonts w:hint="eastAsia" w:ascii="Times New Roman" w:hAnsi="Times New Roman" w:eastAsia="黑体" w:cs="Times New Roman"/>
          <w:color w:val="000000"/>
          <w:kern w:val="0"/>
          <w:sz w:val="32"/>
          <w:szCs w:val="32"/>
          <w:lang w:val="en-US" w:eastAsia="zh-CN" w:bidi="ar"/>
        </w:rPr>
        <w:t>）</w:t>
      </w:r>
      <w:r>
        <w:rPr>
          <w:rFonts w:hint="default" w:ascii="Times New Roman" w:hAnsi="Times New Roman" w:eastAsia="黑体" w:cs="Times New Roman"/>
          <w:color w:val="000000"/>
          <w:kern w:val="0"/>
          <w:sz w:val="32"/>
          <w:szCs w:val="32"/>
          <w:lang w:val="en-US" w:eastAsia="zh-CN" w:bidi="ar"/>
        </w:rPr>
        <w:t xml:space="preserve">提供社区服务的社区养老服务机构（喘息服务、日间托养）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1.依法办理登记，经营范围或业务范围包括养老服务；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2.具有为中度及以上失能老年人提供相应服务的能力（是指具备足够的护理型床位，采取与医疗卫生机构签约合作等方式提供医养结合服务）；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3.自愿参与、信誉良好，近一年内未被纳入失信联合惩戒对象名单；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4.其他设区的市人民政府民政部门认定的应具备的条件。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eastAsia" w:ascii="Times New Roman" w:hAnsi="Times New Roman" w:eastAsia="黑体" w:cs="Times New Roman"/>
          <w:color w:val="000000"/>
          <w:kern w:val="0"/>
          <w:sz w:val="32"/>
          <w:szCs w:val="32"/>
          <w:lang w:val="en-US" w:eastAsia="zh-CN" w:bidi="ar"/>
        </w:rPr>
        <w:t>（</w:t>
      </w:r>
      <w:r>
        <w:rPr>
          <w:rFonts w:hint="default" w:ascii="Times New Roman" w:hAnsi="Times New Roman" w:eastAsia="黑体" w:cs="Times New Roman"/>
          <w:color w:val="000000"/>
          <w:kern w:val="0"/>
          <w:sz w:val="32"/>
          <w:szCs w:val="32"/>
          <w:lang w:val="en-US" w:eastAsia="zh-CN" w:bidi="ar"/>
        </w:rPr>
        <w:t>三</w:t>
      </w:r>
      <w:r>
        <w:rPr>
          <w:rFonts w:hint="eastAsia" w:ascii="Times New Roman" w:hAnsi="Times New Roman" w:eastAsia="黑体" w:cs="Times New Roman"/>
          <w:color w:val="000000"/>
          <w:kern w:val="0"/>
          <w:sz w:val="32"/>
          <w:szCs w:val="32"/>
          <w:lang w:val="en-US" w:eastAsia="zh-CN" w:bidi="ar"/>
        </w:rPr>
        <w:t>）</w:t>
      </w:r>
      <w:r>
        <w:rPr>
          <w:rFonts w:hint="default" w:ascii="Times New Roman" w:hAnsi="Times New Roman" w:eastAsia="黑体" w:cs="Times New Roman"/>
          <w:color w:val="000000"/>
          <w:kern w:val="0"/>
          <w:sz w:val="32"/>
          <w:szCs w:val="32"/>
          <w:lang w:val="en-US" w:eastAsia="zh-CN" w:bidi="ar"/>
        </w:rPr>
        <w:t xml:space="preserve">提供居家上门的养老服务机构（含具有相应服务能力的家政企业等）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1.应依法办理登记，经营范围或业务范围应包括养老服务；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2.自愿参与、信誉良好，近 1 年内未被纳入失信联合惩戒对象名单；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3.具有为中度及以上失能老年人提供相应服务的能力（是指提供居家上门的服务人员具备与服务相适应的职业资格证书、技能等级证书或养老护理员培训证书等）；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4.其他设区的市人民政府民政部门认定的应具备的条件。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eastAsia" w:ascii="Times New Roman" w:hAnsi="Times New Roman" w:eastAsia="黑体" w:cs="Times New Roman"/>
          <w:color w:val="000000"/>
          <w:kern w:val="0"/>
          <w:sz w:val="32"/>
          <w:szCs w:val="32"/>
          <w:lang w:val="en-US" w:eastAsia="zh-CN" w:bidi="ar"/>
        </w:rPr>
        <w:t>二</w:t>
      </w:r>
      <w:r>
        <w:rPr>
          <w:rFonts w:hint="default" w:ascii="Times New Roman" w:hAnsi="Times New Roman" w:eastAsia="黑体" w:cs="Times New Roman"/>
          <w:color w:val="000000"/>
          <w:kern w:val="0"/>
          <w:sz w:val="32"/>
          <w:szCs w:val="32"/>
          <w:lang w:val="en-US" w:eastAsia="zh-CN" w:bidi="ar"/>
        </w:rPr>
        <w:t>、民政部门委托的第三方专业评估机构</w:t>
      </w:r>
      <w:r>
        <w:rPr>
          <w:rFonts w:hint="eastAsia" w:ascii="Times New Roman" w:hAnsi="Times New Roman" w:eastAsia="黑体" w:cs="Times New Roman"/>
          <w:color w:val="000000"/>
          <w:kern w:val="0"/>
          <w:sz w:val="32"/>
          <w:szCs w:val="32"/>
          <w:lang w:val="en-US" w:eastAsia="zh-CN" w:bidi="ar"/>
        </w:rPr>
        <w:t>要求</w:t>
      </w:r>
      <w:r>
        <w:rPr>
          <w:rFonts w:hint="default" w:ascii="Times New Roman" w:hAnsi="Times New Roman" w:eastAsia="黑体" w:cs="Times New Roman"/>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1.依法办理注册登记的企事业单位或社会组织；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2.至少配置 5 名专/兼职评估人员，评估人员应具有全日制高中或中专及以上学历，有 5 年以上从事医疗护理、健康管理、养老服务、老年社会工作等实务经历并具有相关专业背景；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3.评估人员应当具备老年人能力评估师资质或通过老年人能力评估培训学业评估，具备从事老年人能力评估的从业经历，理解评估指标内容，掌握评估要求；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4.应当保护被评估人员和评估人员的尊严、安全和个人隐私；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5.机构或评估人员近一年内未被纳入单独或联合失信惩戒名单、未被行政处罚、未被纳入人民法院失信被执行人名单，服务过程中未发生重大安全事故或服务对象群体投诉信访事件； </w:t>
      </w: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6.不得参与本项目消费补贴提供的养老服务。</w:t>
      </w:r>
    </w:p>
    <w:p>
      <w:pPr>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A00002BF" w:usb1="38CF7CFA" w:usb2="00082016" w:usb3="00000000" w:csb0="00040001" w:csb1="00000000"/>
  </w:font>
  <w:font w:name="MingLiU_HKSCS-ExtB">
    <w:panose1 w:val="02020500000000000000"/>
    <w:charset w:val="88"/>
    <w:family w:val="auto"/>
    <w:pitch w:val="default"/>
    <w:sig w:usb0="8000002F" w:usb1="02000008" w:usb2="00000000" w:usb3="00000000" w:csb0="00100001" w:csb1="00000000"/>
  </w:font>
  <w:font w:name="Yu Gothic Light">
    <w:panose1 w:val="020B03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Bahnschrift Light SemiCondensed">
    <w:panose1 w:val="020B0502040204020203"/>
    <w:charset w:val="00"/>
    <w:family w:val="auto"/>
    <w:pitch w:val="default"/>
    <w:sig w:usb0="A00002C7" w:usb1="00000002" w:usb2="00000000" w:usb3="00000000" w:csb0="2000019F" w:csb1="00000000"/>
  </w:font>
  <w:font w:name="Gabriola">
    <w:panose1 w:val="04040605051002020D02"/>
    <w:charset w:val="00"/>
    <w:family w:val="auto"/>
    <w:pitch w:val="default"/>
    <w:sig w:usb0="E00002EF" w:usb1="5000204B" w:usb2="00000000" w:usb3="00000000" w:csb0="2000009F" w:csb1="00000000"/>
  </w:font>
  <w:font w:name="Ink Free">
    <w:panose1 w:val="03080402000500000000"/>
    <w:charset w:val="00"/>
    <w:family w:val="auto"/>
    <w:pitch w:val="default"/>
    <w:sig w:usb0="80000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V Boli">
    <w:panose1 w:val="02000500030200090000"/>
    <w:charset w:val="00"/>
    <w:family w:val="auto"/>
    <w:pitch w:val="default"/>
    <w:sig w:usb0="00000003" w:usb1="00000000" w:usb2="000001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Symbol">
    <w:panose1 w:val="020B0502040204020203"/>
    <w:charset w:val="00"/>
    <w:family w:val="auto"/>
    <w:pitch w:val="default"/>
    <w:sig w:usb0="800001E3" w:usb1="1200FFEF" w:usb2="00040000" w:usb3="04000000" w:csb0="00000001" w:csb1="4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F62AD"/>
    <w:rsid w:val="3BB85175"/>
    <w:rsid w:val="467F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2025-08-13T01:01:00Z</dcterms:created>
  <dc:creator>Administrator</dc:creator>
  <cp:lastModifiedBy>Administrator</cp:lastModifiedBy>
  <dcterms:modified xsi:type="dcterms:W3CDTF">2025-08-13T01:16:11Z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6E588D8EF41A43448DA4BA95190B5F66</vt:lpwstr>
  </property>
</Properties>
</file>