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华文中宋"/>
          <w:w w:val="52"/>
          <w:sz w:val="80"/>
        </w:rPr>
      </w:pPr>
      <w:r>
        <w:rPr>
          <w:rFonts w:eastAsia="华文中宋"/>
          <w:sz w:val="80"/>
          <w:lang/>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-301625</wp:posOffset>
                </wp:positionV>
                <wp:extent cx="2000250" cy="396240"/>
                <wp:effectExtent l="0" t="0" r="0" b="0"/>
                <wp:wrapNone/>
                <wp:docPr id="1" name="文本框 49"/>
                <wp:cNvGraphicFramePr/>
                <a:graphic xmlns:a="http://schemas.openxmlformats.org/drawingml/2006/main">
                  <a:graphicData uri="http://schemas.microsoft.com/office/word/2010/wordprocessingShape">
                    <wps:wsp>
                      <wps:cNvSpPr txBox="true"/>
                      <wps:spPr>
                        <a:xfrm>
                          <a:off x="0" y="0"/>
                          <a:ext cx="2000250" cy="396240"/>
                        </a:xfrm>
                        <a:prstGeom prst="rect">
                          <a:avLst/>
                        </a:prstGeom>
                        <a:noFill/>
                        <a:ln>
                          <a:noFill/>
                        </a:ln>
                      </wps:spPr>
                      <wps:txbx>
                        <w:txbxContent>
                          <w:p>
                            <w:pPr>
                              <w:rPr>
                                <w:rFonts w:hint="eastAsia" w:eastAsia="黑体"/>
                                <w:sz w:val="32"/>
                                <w:szCs w:val="32"/>
                              </w:rPr>
                            </w:pPr>
                            <w:r>
                              <w:rPr>
                                <w:rFonts w:eastAsia="黑体"/>
                                <w:sz w:val="32"/>
                                <w:szCs w:val="32"/>
                              </w:rPr>
                              <w:t>ZCDR-201</w:t>
                            </w:r>
                            <w:r>
                              <w:rPr>
                                <w:rFonts w:hint="eastAsia" w:eastAsia="黑体"/>
                                <w:sz w:val="32"/>
                                <w:szCs w:val="32"/>
                              </w:rPr>
                              <w:t>5</w:t>
                            </w:r>
                            <w:r>
                              <w:rPr>
                                <w:rFonts w:eastAsia="黑体"/>
                                <w:sz w:val="32"/>
                                <w:szCs w:val="32"/>
                              </w:rPr>
                              <w:t>-00</w:t>
                            </w:r>
                            <w:r>
                              <w:rPr>
                                <w:rFonts w:hint="eastAsia" w:eastAsia="黑体"/>
                                <w:sz w:val="32"/>
                                <w:szCs w:val="32"/>
                              </w:rPr>
                              <w:t>1</w:t>
                            </w:r>
                            <w:r>
                              <w:rPr>
                                <w:rFonts w:eastAsia="黑体"/>
                                <w:sz w:val="32"/>
                                <w:szCs w:val="32"/>
                              </w:rPr>
                              <w:t>00</w:t>
                            </w:r>
                            <w:r>
                              <w:rPr>
                                <w:rFonts w:hint="eastAsia" w:eastAsia="黑体"/>
                                <w:sz w:val="32"/>
                                <w:szCs w:val="32"/>
                              </w:rPr>
                              <w:t>31</w:t>
                            </w:r>
                          </w:p>
                        </w:txbxContent>
                      </wps:txbx>
                      <wps:bodyPr wrap="square" upright="true"/>
                    </wps:wsp>
                  </a:graphicData>
                </a:graphic>
              </wp:anchor>
            </w:drawing>
          </mc:Choice>
          <mc:Fallback>
            <w:pict>
              <v:shape id="文本框 49" o:spid="_x0000_s1026" o:spt="202" type="#_x0000_t202" style="position:absolute;left:0pt;margin-left:-0.05pt;margin-top:-23.75pt;height:31.2pt;width:157.5pt;z-index:251658240;mso-width-relative:page;mso-height-relative:page;" filled="f" stroked="f" coordsize="21600,21600" o:gfxdata="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JhM&#10;/0HVAAAACAEAAA8AAAAAAAAAAQAgAAAAOAAAAGRycy9kb3ducmV2LnhtbFBLAQIUABQAAAAIAIdO&#10;4kCAbt6IngEAABUDAAAOAAAAAAAAAAEAIAAAADoBAABkcnMvZTJvRG9jLnhtbFBLBQYAAAAABgAG&#10;AFkBAABKBQAAAAA=&#10;">
                <v:fill on="f" focussize="0,0"/>
                <v:stroke on="f"/>
                <v:imagedata o:title=""/>
                <o:lock v:ext="edit" aspectratio="f"/>
                <v:textbox>
                  <w:txbxContent>
                    <w:p>
                      <w:pPr>
                        <w:rPr>
                          <w:rFonts w:hint="eastAsia" w:eastAsia="黑体"/>
                          <w:sz w:val="32"/>
                          <w:szCs w:val="32"/>
                        </w:rPr>
                      </w:pPr>
                      <w:r>
                        <w:rPr>
                          <w:rFonts w:eastAsia="黑体"/>
                          <w:sz w:val="32"/>
                          <w:szCs w:val="32"/>
                        </w:rPr>
                        <w:t>ZCDR-201</w:t>
                      </w:r>
                      <w:r>
                        <w:rPr>
                          <w:rFonts w:hint="eastAsia" w:eastAsia="黑体"/>
                          <w:sz w:val="32"/>
                          <w:szCs w:val="32"/>
                        </w:rPr>
                        <w:t>5</w:t>
                      </w:r>
                      <w:r>
                        <w:rPr>
                          <w:rFonts w:eastAsia="黑体"/>
                          <w:sz w:val="32"/>
                          <w:szCs w:val="32"/>
                        </w:rPr>
                        <w:t>-00</w:t>
                      </w:r>
                      <w:r>
                        <w:rPr>
                          <w:rFonts w:hint="eastAsia" w:eastAsia="黑体"/>
                          <w:sz w:val="32"/>
                          <w:szCs w:val="32"/>
                        </w:rPr>
                        <w:t>1</w:t>
                      </w:r>
                      <w:r>
                        <w:rPr>
                          <w:rFonts w:eastAsia="黑体"/>
                          <w:sz w:val="32"/>
                          <w:szCs w:val="32"/>
                        </w:rPr>
                        <w:t>00</w:t>
                      </w:r>
                      <w:r>
                        <w:rPr>
                          <w:rFonts w:hint="eastAsia" w:eastAsia="黑体"/>
                          <w:sz w:val="32"/>
                          <w:szCs w:val="32"/>
                        </w:rPr>
                        <w:t>31</w:t>
                      </w:r>
                    </w:p>
                  </w:txbxContent>
                </v:textbox>
              </v:shape>
            </w:pict>
          </mc:Fallback>
        </mc:AlternateContent>
      </w:r>
    </w:p>
    <w:p>
      <w:pPr>
        <w:rPr>
          <w:rFonts w:eastAsia="华文中宋"/>
          <w:sz w:val="32"/>
        </w:rPr>
      </w:pPr>
    </w:p>
    <w:p>
      <w:pPr>
        <w:rPr>
          <w:rFonts w:eastAsia="华文中宋"/>
          <w:sz w:val="32"/>
        </w:rPr>
      </w:pPr>
      <w:bookmarkStart w:id="1" w:name="_GoBack"/>
      <w:bookmarkEnd w:id="1"/>
    </w:p>
    <w:p>
      <w:pPr>
        <w:spacing w:line="560" w:lineRule="exact"/>
        <w:jc w:val="center"/>
        <w:rPr>
          <w:rFonts w:eastAsia="华文中宋"/>
          <w:sz w:val="44"/>
          <w:szCs w:val="36"/>
        </w:rPr>
      </w:pPr>
    </w:p>
    <w:p>
      <w:pPr>
        <w:spacing w:line="700" w:lineRule="exact"/>
        <w:jc w:val="center"/>
        <w:rPr>
          <w:rFonts w:eastAsia="方正小标宋简体"/>
          <w:color w:val="000000"/>
          <w:kern w:val="44"/>
          <w:sz w:val="44"/>
          <w:szCs w:val="44"/>
        </w:rPr>
      </w:pPr>
      <w:r>
        <w:rPr>
          <w:rFonts w:eastAsia="方正小标宋简体"/>
          <w:color w:val="000000"/>
          <w:kern w:val="44"/>
          <w:sz w:val="44"/>
          <w:szCs w:val="44"/>
        </w:rPr>
        <w:t>周村区人民政府</w:t>
      </w:r>
    </w:p>
    <w:p>
      <w:pPr>
        <w:spacing w:line="700" w:lineRule="exact"/>
        <w:jc w:val="center"/>
        <w:rPr>
          <w:rFonts w:eastAsia="方正小标宋简体"/>
          <w:color w:val="000000"/>
          <w:kern w:val="44"/>
          <w:sz w:val="44"/>
          <w:szCs w:val="44"/>
        </w:rPr>
      </w:pPr>
      <w:r>
        <w:rPr>
          <w:rFonts w:eastAsia="方正小标宋简体"/>
          <w:color w:val="000000"/>
          <w:kern w:val="44"/>
          <w:sz w:val="44"/>
          <w:szCs w:val="44"/>
        </w:rPr>
        <w:t>关于加快养老服务业发展的意见</w:t>
      </w:r>
    </w:p>
    <w:p>
      <w:pPr>
        <w:spacing w:line="600" w:lineRule="exact"/>
        <w:jc w:val="center"/>
        <w:rPr>
          <w:rFonts w:eastAsia="仿宋_GB2312"/>
          <w:color w:val="000000"/>
          <w:sz w:val="32"/>
        </w:rPr>
      </w:pPr>
      <w:r>
        <w:rPr>
          <w:rFonts w:eastAsia="仿宋_GB2312"/>
          <w:color w:val="000000"/>
          <w:sz w:val="32"/>
        </w:rPr>
        <w:t>周政发〔2015〕58号</w:t>
      </w:r>
    </w:p>
    <w:p>
      <w:pPr>
        <w:spacing w:line="580" w:lineRule="exact"/>
        <w:ind w:firstLine="640" w:firstLineChars="200"/>
        <w:rPr>
          <w:rFonts w:eastAsia="仿宋_GB2312"/>
          <w:sz w:val="32"/>
          <w:szCs w:val="32"/>
        </w:rPr>
      </w:pPr>
    </w:p>
    <w:p>
      <w:pPr>
        <w:spacing w:line="580" w:lineRule="exact"/>
        <w:rPr>
          <w:rFonts w:eastAsia="仿宋_GB2312"/>
          <w:sz w:val="32"/>
          <w:szCs w:val="32"/>
        </w:rPr>
      </w:pPr>
      <w:r>
        <w:rPr>
          <w:rFonts w:eastAsia="仿宋_GB2312"/>
          <w:sz w:val="32"/>
          <w:szCs w:val="32"/>
        </w:rPr>
        <w:t>各镇政府、街道办事处，经济开发区管委会，区政府有关部门</w:t>
      </w:r>
      <w:r>
        <w:rPr>
          <w:rFonts w:hint="eastAsia" w:eastAsia="仿宋_GB2312"/>
          <w:sz w:val="32"/>
          <w:szCs w:val="32"/>
        </w:rPr>
        <w:t>，</w:t>
      </w:r>
      <w:r>
        <w:rPr>
          <w:rFonts w:eastAsia="仿宋_GB2312"/>
          <w:sz w:val="32"/>
          <w:szCs w:val="32"/>
        </w:rPr>
        <w:t>有关单位：</w:t>
      </w:r>
    </w:p>
    <w:p>
      <w:pPr>
        <w:spacing w:line="580" w:lineRule="exact"/>
        <w:ind w:firstLine="640" w:firstLineChars="200"/>
        <w:rPr>
          <w:rFonts w:eastAsia="仿宋_GB2312"/>
          <w:sz w:val="32"/>
          <w:szCs w:val="32"/>
        </w:rPr>
      </w:pPr>
      <w:r>
        <w:rPr>
          <w:rFonts w:eastAsia="仿宋_GB2312"/>
          <w:sz w:val="32"/>
          <w:szCs w:val="32"/>
        </w:rPr>
        <w:t>根据《淄博市关于加快发展养老服务业的意见》（淄政发〔2015〕11号）要求，</w:t>
      </w:r>
      <w:bookmarkStart w:id="0" w:name="_GoBack"/>
      <w:bookmarkEnd w:id="0"/>
      <w:r>
        <w:rPr>
          <w:rFonts w:eastAsia="仿宋_GB2312"/>
          <w:sz w:val="32"/>
          <w:szCs w:val="32"/>
        </w:rPr>
        <w:t>结合我区实际，现就加快发展养老服务业提出以下意见：</w:t>
      </w:r>
    </w:p>
    <w:p>
      <w:pPr>
        <w:spacing w:line="580" w:lineRule="exact"/>
        <w:ind w:firstLine="640" w:firstLineChars="200"/>
        <w:rPr>
          <w:rFonts w:eastAsia="黑体"/>
          <w:sz w:val="32"/>
          <w:szCs w:val="32"/>
        </w:rPr>
      </w:pPr>
      <w:r>
        <w:rPr>
          <w:rFonts w:hAnsi="黑体" w:eastAsia="黑体"/>
          <w:sz w:val="32"/>
          <w:szCs w:val="32"/>
        </w:rPr>
        <w:t>一、总体思路与发展目标</w:t>
      </w:r>
    </w:p>
    <w:p>
      <w:pPr>
        <w:spacing w:line="580" w:lineRule="exact"/>
        <w:ind w:firstLine="640" w:firstLineChars="200"/>
        <w:rPr>
          <w:rFonts w:eastAsia="仿宋_GB2312"/>
          <w:sz w:val="32"/>
          <w:szCs w:val="32"/>
        </w:rPr>
      </w:pPr>
      <w:r>
        <w:rPr>
          <w:rFonts w:hint="eastAsia" w:eastAsia="楷体_GB2312"/>
          <w:sz w:val="32"/>
          <w:szCs w:val="32"/>
        </w:rPr>
        <w:t>（</w:t>
      </w:r>
      <w:r>
        <w:rPr>
          <w:rFonts w:eastAsia="楷体_GB2312"/>
          <w:sz w:val="32"/>
          <w:szCs w:val="32"/>
        </w:rPr>
        <w:t>一</w:t>
      </w:r>
      <w:r>
        <w:rPr>
          <w:rFonts w:hint="eastAsia" w:eastAsia="楷体_GB2312"/>
          <w:sz w:val="32"/>
          <w:szCs w:val="32"/>
        </w:rPr>
        <w:t>）</w:t>
      </w:r>
      <w:r>
        <w:rPr>
          <w:rFonts w:eastAsia="楷体_GB2312"/>
          <w:sz w:val="32"/>
          <w:szCs w:val="32"/>
        </w:rPr>
        <w:t>总体思路。</w:t>
      </w:r>
      <w:r>
        <w:rPr>
          <w:rFonts w:eastAsia="仿宋_GB2312"/>
          <w:sz w:val="32"/>
          <w:szCs w:val="32"/>
        </w:rPr>
        <w:t>围绕满足老年人日益增长的养老服务需求，坚持“政府引领、市场运作、社会主办、统筹城乡”的原则，完善政策体系，创新体制机制，营造统一开放、平等参与、竞争有序、充满活力的发展环境；充分发挥市场在资源配置中的决定性作用，整合各类资源，激发社会活力，使社会力量逐步成为养老服务业的发展主体；健全养老服务体系，推进养老服务业社会化、市场化、产业化发展，使养老服务业成为积极应对人口老龄化、保障和改善民生的重要举措，成为扩大内需、增加就业、促进服务业发展、推动经济转型升级的重要力量。</w:t>
      </w:r>
    </w:p>
    <w:p>
      <w:pPr>
        <w:spacing w:line="580" w:lineRule="exact"/>
        <w:ind w:firstLine="640" w:firstLineChars="200"/>
        <w:rPr>
          <w:rFonts w:eastAsia="仿宋_GB2312"/>
          <w:sz w:val="32"/>
          <w:szCs w:val="32"/>
        </w:rPr>
      </w:pPr>
      <w:r>
        <w:rPr>
          <w:rFonts w:eastAsia="楷体_GB2312"/>
          <w:sz w:val="32"/>
          <w:szCs w:val="32"/>
        </w:rPr>
        <w:t>（二）发展目标。</w:t>
      </w:r>
      <w:r>
        <w:rPr>
          <w:rFonts w:eastAsia="仿宋_GB2312"/>
          <w:sz w:val="32"/>
          <w:szCs w:val="32"/>
        </w:rPr>
        <w:t>到2020年，全面建成以居家为基础、社区为依托、机构为补充、功能完善、规模适度、覆盖城乡的养老服务体系。养老服务产品更加丰富，市场机制不断完善，养老服务业持续健康发展。</w:t>
      </w:r>
    </w:p>
    <w:p>
      <w:pPr>
        <w:spacing w:line="580" w:lineRule="exact"/>
        <w:ind w:firstLine="640" w:firstLineChars="200"/>
        <w:rPr>
          <w:rFonts w:eastAsia="仿宋_GB2312"/>
          <w:sz w:val="32"/>
          <w:szCs w:val="32"/>
        </w:rPr>
      </w:pPr>
      <w:r>
        <w:rPr>
          <w:rFonts w:eastAsia="仿宋_GB2312"/>
          <w:sz w:val="32"/>
          <w:szCs w:val="32"/>
        </w:rPr>
        <w:t>——生活照料、医疗护理、精神慰藉、紧急救援等基本养老服务覆盖所有居家老年人。</w:t>
      </w:r>
    </w:p>
    <w:p>
      <w:pPr>
        <w:spacing w:line="580" w:lineRule="exact"/>
        <w:ind w:firstLine="640" w:firstLineChars="200"/>
        <w:rPr>
          <w:rFonts w:eastAsia="仿宋_GB2312"/>
          <w:sz w:val="32"/>
          <w:szCs w:val="32"/>
        </w:rPr>
      </w:pPr>
      <w:r>
        <w:rPr>
          <w:rFonts w:eastAsia="仿宋_GB2312"/>
          <w:sz w:val="32"/>
          <w:szCs w:val="32"/>
        </w:rPr>
        <w:t>——符合标准的社区老年人日间照料中心等养老服务设施覆盖所有城市社区，60%以上农村建立农村幸福院等互助养老服务设施。</w:t>
      </w:r>
    </w:p>
    <w:p>
      <w:pPr>
        <w:spacing w:line="580" w:lineRule="exact"/>
        <w:ind w:firstLine="640" w:firstLineChars="200"/>
        <w:rPr>
          <w:rFonts w:eastAsia="仿宋_GB2312"/>
          <w:sz w:val="32"/>
          <w:szCs w:val="32"/>
        </w:rPr>
      </w:pPr>
      <w:r>
        <w:rPr>
          <w:rFonts w:eastAsia="仿宋_GB2312"/>
          <w:sz w:val="32"/>
          <w:szCs w:val="32"/>
        </w:rPr>
        <w:t>——每千名老年人拥有养老床位数42张以上，护理型床位占养老床位总数的30%以上。</w:t>
      </w:r>
    </w:p>
    <w:p>
      <w:pPr>
        <w:spacing w:line="580" w:lineRule="exact"/>
        <w:ind w:firstLine="640" w:firstLineChars="200"/>
        <w:rPr>
          <w:rFonts w:eastAsia="仿宋_GB2312"/>
          <w:sz w:val="32"/>
          <w:szCs w:val="32"/>
          <w:u w:val="single"/>
        </w:rPr>
      </w:pPr>
      <w:r>
        <w:rPr>
          <w:rFonts w:eastAsia="仿宋_GB2312"/>
          <w:sz w:val="32"/>
          <w:szCs w:val="32"/>
        </w:rPr>
        <w:t>——社会力量成为发展养老服务业的主体，产业规模显著扩大，从业人员显著增加，养老服务业增加值在服务业中的比重显著提升。社会力量举办或经营的养老机构床位数占比达85%以上。</w:t>
      </w:r>
    </w:p>
    <w:p>
      <w:pPr>
        <w:spacing w:line="580" w:lineRule="exact"/>
        <w:ind w:firstLine="640" w:firstLineChars="200"/>
        <w:rPr>
          <w:rFonts w:eastAsia="仿宋_GB2312"/>
          <w:sz w:val="32"/>
          <w:szCs w:val="32"/>
        </w:rPr>
      </w:pPr>
      <w:r>
        <w:rPr>
          <w:rFonts w:eastAsia="仿宋_GB2312"/>
          <w:sz w:val="32"/>
          <w:szCs w:val="32"/>
        </w:rPr>
        <w:t>——养老护理人员岗前培训率达到100%、持证上岗率达到100%、中高级护理资质人员达到30%以上。</w:t>
      </w:r>
    </w:p>
    <w:p>
      <w:pPr>
        <w:spacing w:line="580" w:lineRule="exact"/>
        <w:ind w:firstLine="640" w:firstLineChars="200"/>
        <w:rPr>
          <w:rFonts w:eastAsia="仿宋_GB2312"/>
          <w:sz w:val="32"/>
          <w:szCs w:val="32"/>
        </w:rPr>
      </w:pPr>
      <w:r>
        <w:rPr>
          <w:rFonts w:eastAsia="仿宋_GB2312"/>
          <w:sz w:val="32"/>
          <w:szCs w:val="32"/>
        </w:rPr>
        <w:t>——形成具有一定规模的连锁经营养老服务机构和养老服务产业集群。</w:t>
      </w:r>
    </w:p>
    <w:p>
      <w:pPr>
        <w:spacing w:line="566" w:lineRule="exact"/>
        <w:ind w:firstLine="640" w:firstLineChars="200"/>
        <w:rPr>
          <w:rFonts w:eastAsia="仿宋_GB2312"/>
          <w:sz w:val="32"/>
          <w:szCs w:val="32"/>
        </w:rPr>
      </w:pPr>
      <w:r>
        <w:rPr>
          <w:rFonts w:eastAsia="仿宋_GB2312"/>
          <w:sz w:val="32"/>
          <w:szCs w:val="32"/>
        </w:rPr>
        <w:t>——基本形成政策健全、机制完善、标准规范、平等参与、竞争有序的养老服务业市场环境。</w:t>
      </w:r>
    </w:p>
    <w:p>
      <w:pPr>
        <w:spacing w:line="580" w:lineRule="exact"/>
        <w:ind w:firstLine="640" w:firstLineChars="200"/>
        <w:rPr>
          <w:rFonts w:hAnsi="黑体" w:eastAsia="黑体"/>
          <w:sz w:val="32"/>
          <w:szCs w:val="32"/>
        </w:rPr>
      </w:pPr>
      <w:r>
        <w:rPr>
          <w:rFonts w:hAnsi="黑体" w:eastAsia="黑体"/>
          <w:sz w:val="32"/>
          <w:szCs w:val="32"/>
        </w:rPr>
        <w:t>二、统筹发展规划</w:t>
      </w:r>
    </w:p>
    <w:p>
      <w:pPr>
        <w:spacing w:line="566" w:lineRule="exact"/>
        <w:ind w:firstLine="640" w:firstLineChars="200"/>
        <w:rPr>
          <w:rFonts w:eastAsia="仿宋_GB2312"/>
          <w:sz w:val="32"/>
          <w:szCs w:val="32"/>
        </w:rPr>
      </w:pPr>
      <w:r>
        <w:rPr>
          <w:rFonts w:eastAsia="楷体_GB2312"/>
          <w:sz w:val="32"/>
          <w:szCs w:val="32"/>
        </w:rPr>
        <w:t>（一）统筹规划养老服务业发展。</w:t>
      </w:r>
      <w:r>
        <w:rPr>
          <w:rFonts w:eastAsia="仿宋_GB2312"/>
          <w:sz w:val="32"/>
          <w:szCs w:val="32"/>
        </w:rPr>
        <w:t>将养老服务业发展纳入经济和社会发展规划，列入服务业重点发展领域，制定和组织实施专项规划，并与经济社会发展水平、人口老龄化水平相衔接，统筹资源，合理布局，推动养老服务与医疗、家政、教育、健身、旅游、金融、保险等相关领域融合发展。</w:t>
      </w:r>
    </w:p>
    <w:p>
      <w:pPr>
        <w:spacing w:line="566" w:lineRule="exact"/>
        <w:ind w:firstLine="640" w:firstLineChars="200"/>
        <w:rPr>
          <w:rFonts w:eastAsia="仿宋_GB2312"/>
          <w:sz w:val="32"/>
          <w:szCs w:val="32"/>
        </w:rPr>
      </w:pPr>
      <w:r>
        <w:rPr>
          <w:rFonts w:eastAsia="楷体_GB2312"/>
          <w:sz w:val="32"/>
          <w:szCs w:val="32"/>
        </w:rPr>
        <w:t>（二）建立完善基本养老服务制度。</w:t>
      </w:r>
      <w:r>
        <w:rPr>
          <w:rFonts w:eastAsia="仿宋_GB2312"/>
          <w:sz w:val="32"/>
          <w:szCs w:val="32"/>
        </w:rPr>
        <w:t>坚持政府保基本、保重点，履行托底保障职责，完善基本养老、基本医疗保障制度，逐步提高养老金待遇和医疗保障水平。经济困难老年人参加医疗保险所需个人缴纳部分，按医疗救助相关规定办理；对城市“三无”（无劳动能力、无生活来源、无赡养人和抚养人或者赡养人和抚养人确无赡养和扶养能力）、农村五保老人，落实政府供养；建立生活长期不能自理经济困难老年人护理补贴和困难老年人养老服务补贴制度。建立完善政府购买养老服务制度，对经评估符合条件的困难老年人，由政府为其购买居家养老服务或机构养老服务；提高老年人优待水平，拓展高龄津贴覆盖范围。以解决失去生活自理能力的老年人护理为重点，以基层医疗机构和老年护理机构为依托，探索建立职工长期护理保险制度。</w:t>
      </w:r>
    </w:p>
    <w:p>
      <w:pPr>
        <w:spacing w:line="566" w:lineRule="exact"/>
        <w:ind w:firstLine="640" w:firstLineChars="200"/>
        <w:rPr>
          <w:rFonts w:eastAsia="仿宋_GB2312"/>
          <w:kern w:val="0"/>
          <w:sz w:val="32"/>
          <w:szCs w:val="32"/>
        </w:rPr>
      </w:pPr>
      <w:r>
        <w:rPr>
          <w:rFonts w:eastAsia="楷体_GB2312"/>
          <w:sz w:val="32"/>
          <w:szCs w:val="32"/>
        </w:rPr>
        <w:t>（三）规划完善养老服务设施。</w:t>
      </w:r>
      <w:r>
        <w:rPr>
          <w:rFonts w:eastAsia="仿宋_GB2312"/>
          <w:sz w:val="32"/>
          <w:szCs w:val="32"/>
        </w:rPr>
        <w:t>科学编制养老服务设施建设专项规划，并纳入城乡总体规划，合理确定养老服务设施布局和规模。在制定城市总体规划、控制性详细规划时，必须按照人均用地不少于0.2平方米的标准，分区分级规划设置养老服务设施。</w:t>
      </w:r>
      <w:r>
        <w:rPr>
          <w:rFonts w:eastAsia="仿宋_GB2312"/>
          <w:kern w:val="0"/>
          <w:sz w:val="32"/>
          <w:szCs w:val="32"/>
        </w:rPr>
        <w:t>支持利用闲置企业厂房、商业设施、办公场所等改建养老机构。</w:t>
      </w:r>
      <w:r>
        <w:rPr>
          <w:rFonts w:eastAsia="仿宋_GB2312"/>
          <w:sz w:val="32"/>
          <w:szCs w:val="32"/>
        </w:rPr>
        <w:t>要根据当地老年人口数量和养老需求，建设不同档次、满足不同层次养老需求的养老服务设施。新建居住小区按每百户不少于20平方米的标准配套建设社区居家养老服务用房，已建成的住宅小区按每百户不少于15平方米的标准调剂解决。社区</w:t>
      </w:r>
      <w:r>
        <w:rPr>
          <w:rFonts w:eastAsia="仿宋_GB2312"/>
          <w:kern w:val="0"/>
          <w:sz w:val="32"/>
          <w:szCs w:val="32"/>
        </w:rPr>
        <w:t>人口规模在1-1.5万人、1.5-3万人、3-5万人的社区，应分别配套建设面积不少于750平方米、1085平方米、1600平方米的社区老年人日间照料中心。以上设施</w:t>
      </w:r>
      <w:r>
        <w:rPr>
          <w:rFonts w:eastAsia="仿宋_GB2312"/>
          <w:sz w:val="32"/>
          <w:szCs w:val="32"/>
        </w:rPr>
        <w:t>与住宅同步规划、同步建设、同步验收、同步交付使用，不得挪作他用。老旧居住区没有养老服务设施或现有设施达不到建设指标要求的，必须在2020年底前通过购置、置换、租赁等方式开辟养老服务设施。农村养老服务设施要纳入农村公共服务设施统一规划、优先建设。</w:t>
      </w:r>
      <w:r>
        <w:rPr>
          <w:rFonts w:eastAsia="仿宋_GB2312"/>
          <w:kern w:val="0"/>
          <w:sz w:val="32"/>
          <w:szCs w:val="32"/>
        </w:rPr>
        <w:t>农村幸福院建设标准原则上占地不少于2亩、建筑面积不少于400平方米、床位不少于20张。</w:t>
      </w:r>
    </w:p>
    <w:p>
      <w:pPr>
        <w:spacing w:line="566" w:lineRule="exact"/>
        <w:ind w:firstLine="640" w:firstLineChars="200"/>
        <w:rPr>
          <w:rFonts w:eastAsia="仿宋_GB2312"/>
          <w:sz w:val="32"/>
          <w:szCs w:val="32"/>
        </w:rPr>
      </w:pPr>
      <w:r>
        <w:rPr>
          <w:rFonts w:eastAsia="楷体_GB2312"/>
          <w:sz w:val="32"/>
          <w:szCs w:val="32"/>
        </w:rPr>
        <w:t>（四）拓展居家养老和社区养老服务。</w:t>
      </w:r>
      <w:r>
        <w:rPr>
          <w:rFonts w:eastAsia="仿宋_GB2312"/>
          <w:sz w:val="32"/>
          <w:szCs w:val="32"/>
        </w:rPr>
        <w:t>支持建立以企业和机构为主体、社区为纽带、满足老年人各种服务需求的居家养老服务网络，为居家老年人提供助餐、助洁、助浴、助急、助医等服务。支持社区建立健全居家养老服务网点，引入社会组织和家政、物业等企业，兴办或运营老年供餐、社区日间照料、老年活动中心、老年互助点等形式多样的养老服务项目。支持企业和机构运用互联网、物联网等技术手段创新居家养老服务模式，发展老年电子商务。推动居家养老服务信息平台建设，提供紧急呼叫、健康管理、信息咨询、生活帮助、精神慰藉等适合老年人的服务项目。各类具有为老年人服务功能的设施都应向老年人开放。鼓励居家养老服务企业、社会组织充分利用公共服务设施、社区闲置场所开展社区日间照料服务。将居家养老服务和社区日间照料纳入社区网格化管理范围。组织开展邻里互助、志愿服务等活动，切实满足城乡老年人的养老服务需求。</w:t>
      </w:r>
    </w:p>
    <w:p>
      <w:pPr>
        <w:spacing w:line="566" w:lineRule="exact"/>
        <w:ind w:firstLine="640" w:firstLineChars="200"/>
        <w:rPr>
          <w:rFonts w:eastAsia="仿宋_GB2312"/>
          <w:kern w:val="0"/>
          <w:sz w:val="32"/>
          <w:szCs w:val="32"/>
        </w:rPr>
      </w:pPr>
      <w:r>
        <w:rPr>
          <w:rFonts w:eastAsia="楷体_GB2312"/>
          <w:sz w:val="32"/>
          <w:szCs w:val="32"/>
        </w:rPr>
        <w:t>（五）加强养老机构建设。</w:t>
      </w:r>
      <w:r>
        <w:rPr>
          <w:rFonts w:eastAsia="仿宋_GB2312"/>
          <w:sz w:val="32"/>
          <w:szCs w:val="32"/>
        </w:rPr>
        <w:t>将养老机构建设纳入城市建设总体规划，统筹建设各类养老机构。按照“规模适度、注重质量”的原则，鼓励社会力量参与养老服务业发展。在资本金、场地、人员等方面为社会力量举办养老机构提供便捷服务。通过整合、改造、置换或转变用途等方式，将闲置的医院、企业厂房、商业设施、农村集体闲置房产及其他社会资源用于兴办养老机构。进一步降低门槛，简化手续，规范程序，公开信息，行政许可和登记机关要核定其经营和活动范围，</w:t>
      </w:r>
      <w:r>
        <w:rPr>
          <w:rFonts w:eastAsia="仿宋_GB2312"/>
          <w:kern w:val="0"/>
          <w:sz w:val="32"/>
          <w:szCs w:val="32"/>
        </w:rPr>
        <w:t>鼓励社会力量举办规模化、连锁化养老机构，个人举办家庭化、小型化养老机构。吸引境内外投资者以独资、合资、合作等方式举办、运营养老机构。</w:t>
      </w:r>
    </w:p>
    <w:p>
      <w:pPr>
        <w:spacing w:line="566" w:lineRule="exact"/>
        <w:ind w:firstLine="640" w:firstLineChars="200"/>
        <w:rPr>
          <w:rFonts w:eastAsia="仿宋_GB2312"/>
          <w:kern w:val="0"/>
          <w:sz w:val="32"/>
          <w:szCs w:val="32"/>
        </w:rPr>
      </w:pPr>
      <w:r>
        <w:rPr>
          <w:rFonts w:eastAsia="仿宋_GB2312"/>
          <w:kern w:val="0"/>
          <w:sz w:val="32"/>
          <w:szCs w:val="32"/>
        </w:rPr>
        <w:t>发挥公办养老机构的托底作用，重点为城乡特困老人、低收入老人、经济困难的失能半失能老人提供无偿或低收费的供养、护理服务。鼓励民间资本通过委托管理等方式，运营公有产权的养老服务设施。要开展服务项目和设施安全标准化建设，不断提高服务水平。</w:t>
      </w:r>
    </w:p>
    <w:p>
      <w:pPr>
        <w:spacing w:line="566" w:lineRule="exact"/>
        <w:ind w:firstLine="640" w:firstLineChars="200"/>
        <w:rPr>
          <w:rFonts w:eastAsia="仿宋_GB2312"/>
          <w:sz w:val="32"/>
          <w:szCs w:val="32"/>
        </w:rPr>
      </w:pPr>
      <w:r>
        <w:rPr>
          <w:rFonts w:eastAsia="楷体_GB2312"/>
          <w:sz w:val="32"/>
          <w:szCs w:val="32"/>
        </w:rPr>
        <w:t>（六）推进医养结合。</w:t>
      </w:r>
      <w:r>
        <w:rPr>
          <w:rFonts w:eastAsia="仿宋_GB2312"/>
          <w:sz w:val="32"/>
          <w:szCs w:val="32"/>
        </w:rPr>
        <w:t>大力发展老年养护型、医护型养老机构，提升养老机构的医疗服务功能。卫计部门要支持有条件的养老单位设置医疗机构。医疗机构要积极支持养老服务业发展，在养老机构设立派驻机构和服务网点。符合医疗保险定点条件的医疗机构，优先纳入医疗保险定点范围。推进医疗机构与养老机构合作，建立健全医疗机构与养老机构的业务协作机制。有条件的医疗机构，可利用医疗资源举办老年护理院、康复院。 支持中医医疗机构发展中医药老年保健康复服务。医疗机构、社区卫生服务机构应当为老年人建立健康档案，建立社区医院与老年人家庭医疗契约服务关系，开展上门诊视、健康查体、保健咨询、家庭病床等服务，推进面向养老机构和老年人的远程医疗服务。</w:t>
      </w:r>
    </w:p>
    <w:p>
      <w:pPr>
        <w:spacing w:line="580" w:lineRule="exact"/>
        <w:ind w:firstLine="640" w:firstLineChars="200"/>
        <w:rPr>
          <w:rFonts w:hAnsi="黑体" w:eastAsia="黑体"/>
          <w:sz w:val="32"/>
          <w:szCs w:val="32"/>
        </w:rPr>
      </w:pPr>
      <w:r>
        <w:rPr>
          <w:rFonts w:hAnsi="黑体" w:eastAsia="黑体"/>
          <w:sz w:val="32"/>
          <w:szCs w:val="32"/>
        </w:rPr>
        <w:t>三、大力发展养老服务产业</w:t>
      </w:r>
    </w:p>
    <w:p>
      <w:pPr>
        <w:spacing w:line="566" w:lineRule="exact"/>
        <w:ind w:firstLine="640" w:firstLineChars="200"/>
        <w:textAlignment w:val="baseline"/>
        <w:rPr>
          <w:rFonts w:eastAsia="仿宋_GB2312"/>
          <w:sz w:val="32"/>
          <w:szCs w:val="32"/>
        </w:rPr>
      </w:pPr>
      <w:r>
        <w:rPr>
          <w:rFonts w:eastAsia="楷体_GB2312"/>
          <w:sz w:val="32"/>
          <w:szCs w:val="32"/>
        </w:rPr>
        <w:t>（一）开发老年产品用品。</w:t>
      </w:r>
      <w:r>
        <w:rPr>
          <w:rFonts w:eastAsia="仿宋_GB2312"/>
          <w:sz w:val="32"/>
          <w:szCs w:val="32"/>
        </w:rPr>
        <w:t>以企业为主体,促进产学研结合,加强养老产业新技术、新产品的研发应用，加强技术集成和服务模式创新。加快研发适合老年人的助行器具、视听辅助、起居辅助、营养保健、服装饰品等用品，引导商场、超市、批发市场设立老年用品专区专柜。加强老年病研究及老年医疗药品、康复护理器械研发。引导相关行业积极拓展老年文化娱乐、体育健身、休闲旅游、老年教育、健康养生、精神慰藉、异地养老等服务。支持老年宜居社区、老年住宅和代际亲情住宅建设。引导和规范商业银行、证券公司等金融机构开发适合老年人的理财、投资、信贷等金融产品。鼓励保险公司开办老年人健康保险、长期护理保险、意外伤害保险、养老机构意外责任险等保险产品。加强老年产品用品市场监管，健全标准规范，依法打击侵害老年人合法权益的市场行为。</w:t>
      </w:r>
    </w:p>
    <w:p>
      <w:pPr>
        <w:spacing w:line="566" w:lineRule="exact"/>
        <w:ind w:firstLine="640" w:firstLineChars="200"/>
        <w:textAlignment w:val="baseline"/>
        <w:rPr>
          <w:rFonts w:eastAsia="仿宋_GB2312"/>
          <w:sz w:val="32"/>
          <w:szCs w:val="32"/>
        </w:rPr>
      </w:pPr>
      <w:r>
        <w:rPr>
          <w:rFonts w:eastAsia="楷体_GB2312"/>
          <w:sz w:val="32"/>
          <w:szCs w:val="32"/>
        </w:rPr>
        <w:t>（二）培育养老产业集群。</w:t>
      </w:r>
      <w:r>
        <w:rPr>
          <w:rFonts w:eastAsia="仿宋_GB2312"/>
          <w:sz w:val="32"/>
          <w:szCs w:val="32"/>
        </w:rPr>
        <w:t>编制养老产业发展指导目录，引导和鼓励社会资本投资养老服务产业。鼓励竞争力强、有实力的养老服务企业走集团化发展道路，扶持中小型养老服务企业加快发展。要充分利用区位优势、生态优势，吸引国内外养老服务领域知名企业入驻，建设一批休闲养生、教育体育、特色医疗、科技服务等养老服务基地。推动养老服务企业集聚发展，打造集老年产品研发、检测、生产、物流配送、电子商务、展览展销等一体化的养老服务产业园区，积极搭建供需对接平台，培育养老服务市场。大力培育发展养老服务业行业协会和相关社会组织，指导其按照现代社会组织标准开展工作、发挥作用、提供专业化第三方服务。对养老服务类社会组织给予优先登记，优先纳入社会组织孵化基地，优先纳入政府购买服务范围。</w:t>
      </w:r>
    </w:p>
    <w:p>
      <w:pPr>
        <w:spacing w:line="566" w:lineRule="exact"/>
        <w:ind w:firstLine="640" w:firstLineChars="200"/>
        <w:textAlignment w:val="baseline"/>
        <w:rPr>
          <w:rFonts w:eastAsia="仿宋_GB2312"/>
          <w:spacing w:val="-4"/>
          <w:sz w:val="32"/>
          <w:szCs w:val="32"/>
        </w:rPr>
      </w:pPr>
      <w:r>
        <w:rPr>
          <w:rFonts w:eastAsia="楷体_GB2312"/>
          <w:sz w:val="32"/>
          <w:szCs w:val="32"/>
        </w:rPr>
        <w:t>（三）拓宽投融资渠道。</w:t>
      </w:r>
      <w:r>
        <w:rPr>
          <w:rFonts w:eastAsia="仿宋_GB2312"/>
          <w:sz w:val="32"/>
          <w:szCs w:val="32"/>
        </w:rPr>
        <w:t>金</w:t>
      </w:r>
      <w:r>
        <w:rPr>
          <w:rFonts w:eastAsia="仿宋_GB2312"/>
          <w:spacing w:val="-4"/>
          <w:sz w:val="32"/>
          <w:szCs w:val="32"/>
        </w:rPr>
        <w:t>融机构要创新金融产品、服务方式和抵押担保方式，强化同业合作，统筹各类金融资源支持养老服务业发展。支持保险资金投资建设养老服务社区，探索开展老年人住房反向抵押养老保险试点。鼓励采取股份制、股份合作制等形式，探索以“PPP”（公私合营）模式建设养老服务设施。鼓励养老服务企业上市挂牌融资，增强自身“造血”功能。农村可以将未承包的集体所有的部分土地、山林、水面、滩涂等作为养老基地，收益供老年人养老。支持慈善公益组织参与养老服务业，鼓励冠名捐建养老机构，引导捐资设立养老服务类非公募基金会。</w:t>
      </w:r>
    </w:p>
    <w:p>
      <w:pPr>
        <w:spacing w:line="566" w:lineRule="exact"/>
        <w:ind w:firstLine="640" w:firstLineChars="200"/>
        <w:rPr>
          <w:rFonts w:eastAsia="黑体"/>
          <w:sz w:val="32"/>
          <w:szCs w:val="32"/>
        </w:rPr>
      </w:pPr>
      <w:r>
        <w:rPr>
          <w:rFonts w:hAnsi="黑体" w:eastAsia="黑体"/>
          <w:sz w:val="32"/>
          <w:szCs w:val="32"/>
        </w:rPr>
        <w:t>四、强化政策支持</w:t>
      </w:r>
    </w:p>
    <w:p>
      <w:pPr>
        <w:spacing w:line="566" w:lineRule="exact"/>
        <w:ind w:firstLine="640" w:firstLineChars="200"/>
        <w:rPr>
          <w:rFonts w:eastAsia="仿宋_GB2312"/>
          <w:sz w:val="32"/>
          <w:szCs w:val="32"/>
        </w:rPr>
      </w:pPr>
      <w:r>
        <w:rPr>
          <w:rFonts w:eastAsia="楷体_GB2312"/>
          <w:sz w:val="32"/>
          <w:szCs w:val="32"/>
        </w:rPr>
        <w:t>（一）居家养老扶持政策。</w:t>
      </w:r>
      <w:r>
        <w:rPr>
          <w:rFonts w:eastAsia="仿宋_GB2312"/>
          <w:sz w:val="32"/>
          <w:szCs w:val="32"/>
        </w:rPr>
        <w:t>对符合条件的居家养老服务的机构和组织，实行民政部门直接登记，按规定享受民办非企业单位相关优惠政策和待遇。自2016年起，对符合条件的城市社区老年人日间照料中心，按建设规模给予分类补助。对建筑面积达到《社区老年人日间照料中心建设标准》（建标143-2010）所规定一、二、三类建筑面积的城市社区老年人日间照料中心，除省级按照25万元、20万元、15万元的标准予以补助，市级按照15万元、10万元、5万元的标准予以补助外，区级也将予以适当补助；对达不到标准、面积在200平方米-750平方米的社区老年人日间照料中心及居家养老服务机构或组织，除按照省、市级文件给予相应补助外，区级将按照实际面积予以适当补助；对农村敬老院建设，区级按照“以奖代补”的政策给予补助。</w:t>
      </w:r>
    </w:p>
    <w:p>
      <w:pPr>
        <w:spacing w:line="566" w:lineRule="exact"/>
        <w:ind w:firstLine="640" w:firstLineChars="200"/>
        <w:rPr>
          <w:rFonts w:eastAsia="仿宋_GB2312"/>
          <w:sz w:val="32"/>
          <w:szCs w:val="32"/>
        </w:rPr>
      </w:pPr>
      <w:r>
        <w:rPr>
          <w:rFonts w:eastAsia="楷体_GB2312"/>
          <w:sz w:val="32"/>
          <w:szCs w:val="32"/>
        </w:rPr>
        <w:t>（二）机构养老扶持政策。</w:t>
      </w:r>
      <w:r>
        <w:rPr>
          <w:rFonts w:eastAsia="仿宋_GB2312"/>
          <w:sz w:val="32"/>
          <w:szCs w:val="32"/>
        </w:rPr>
        <w:t>进一步优化社会力量参与养老机构建设的扶持机制。鼓励个人、企业、社会团体以及外资依法建设各类养老服务机构。</w:t>
      </w:r>
      <w:r>
        <w:rPr>
          <w:rFonts w:eastAsia="仿宋_GB2312"/>
          <w:kern w:val="0"/>
          <w:sz w:val="32"/>
          <w:szCs w:val="32"/>
        </w:rPr>
        <w:t>外商投资的养老机构和国内养老机构享受同等的优惠扶持政策</w:t>
      </w:r>
      <w:r>
        <w:rPr>
          <w:rFonts w:eastAsia="仿宋_GB2312"/>
          <w:sz w:val="32"/>
          <w:szCs w:val="32"/>
        </w:rPr>
        <w:t>。自2016年起，财政对新增养老床位不少于20张、符合有关部门规定资质条件的养老机构，在享受省、市专项资金6500元补助的基础上，区级按照核定床位给予适当补助；租赁用房且租用期5年以上、达到前述条件的养老机构，省市财政按核定床位给予每张床位3000元的一次性改造补助。2016年起，对已运营、养老床位不少于20张、符合有关部门规定资质条件的民办和公建民营养老机构，按实际入住的自理、半自理和不能自理老年人数量，在省市财政分别给予每人每年660元、1100元和1420元运营补助的同时，区级也将给予适当补助，连补三年。</w:t>
      </w:r>
    </w:p>
    <w:p>
      <w:pPr>
        <w:spacing w:line="566" w:lineRule="exact"/>
        <w:ind w:firstLine="640" w:firstLineChars="200"/>
        <w:rPr>
          <w:rFonts w:eastAsia="仿宋_GB2312"/>
          <w:sz w:val="32"/>
          <w:szCs w:val="32"/>
        </w:rPr>
      </w:pPr>
      <w:r>
        <w:rPr>
          <w:rFonts w:eastAsia="楷体_GB2312"/>
          <w:sz w:val="32"/>
          <w:szCs w:val="32"/>
        </w:rPr>
        <w:t>（三）建设用地扶持政策。</w:t>
      </w:r>
      <w:r>
        <w:rPr>
          <w:rFonts w:eastAsia="仿宋_GB2312"/>
          <w:sz w:val="32"/>
          <w:szCs w:val="32"/>
        </w:rPr>
        <w:t>要将养老设施建设用地纳入土地利用总体规划和年度用地计划，确需新增用地的，每年安排一定数量的用地指标用于养老服务设施建设。民间资本举办的非营利性养老机构与政府举办的养老机构享有相同的土地使用政策，可以依法使用国有划拨土地或者农民集体所有的土地。对营利性养老机构建设用地，按照国家对经营性用地依法办理有偿用地手续的规定，优先保障供应。鼓励以租赁方式供应养老用地，降低养老服务设施建设成本。养老服务设施因城市建设需要依法拆迁时，优先安排同等面积的建设用地。严禁改变养老设施建设用地用途、容积率等土地使用条件，变相搞房地产开发。</w:t>
      </w:r>
    </w:p>
    <w:p>
      <w:pPr>
        <w:spacing w:line="566" w:lineRule="exact"/>
        <w:ind w:firstLine="640" w:firstLineChars="200"/>
        <w:rPr>
          <w:rFonts w:hint="eastAsia" w:eastAsia="仿宋_GB2312"/>
          <w:sz w:val="32"/>
          <w:szCs w:val="32"/>
        </w:rPr>
      </w:pPr>
      <w:r>
        <w:rPr>
          <w:rFonts w:eastAsia="楷体_GB2312"/>
          <w:sz w:val="32"/>
          <w:szCs w:val="32"/>
        </w:rPr>
        <w:t>（四）税费减免扶持政策。</w:t>
      </w:r>
      <w:r>
        <w:rPr>
          <w:rFonts w:eastAsia="仿宋_GB2312"/>
          <w:sz w:val="32"/>
          <w:szCs w:val="32"/>
        </w:rPr>
        <w:t>对养老院提供的育养服务收入免征营业税、城市维护建设税和教育费附加，占用耕地的免征耕地占用税。对通过非营利性组织免税资格认定的非营利性养老机构的收入，可按有关规定免征企业所得税；对其自用房产、土地，免征房产税、城镇土地使用税。对企事业单位、社会团体和个人等社会力量，通过公益性社会团体、基金会或者县级以上人民政府及其部门向福利性、非营利性养老机构的捐赠，在计算企业所得税和个人所得税应纳税所得额时按规定标准予以税前扣除。各类养老服务机构免缴城市基础设施配套费、有线（数字）电视一次性建设费（入网费），减半缴纳有线</w:t>
      </w:r>
      <w:r>
        <w:rPr>
          <w:rFonts w:hint="eastAsia" w:eastAsia="仿宋_GB2312"/>
          <w:sz w:val="32"/>
          <w:szCs w:val="32"/>
        </w:rPr>
        <w:t>（</w:t>
      </w:r>
      <w:r>
        <w:rPr>
          <w:rFonts w:eastAsia="仿宋_GB2312"/>
          <w:sz w:val="32"/>
          <w:szCs w:val="32"/>
        </w:rPr>
        <w:t>数字</w:t>
      </w:r>
      <w:r>
        <w:rPr>
          <w:rFonts w:hint="eastAsia" w:eastAsia="仿宋_GB2312"/>
          <w:sz w:val="32"/>
          <w:szCs w:val="32"/>
        </w:rPr>
        <w:t>）</w:t>
      </w:r>
      <w:r>
        <w:rPr>
          <w:rFonts w:eastAsia="仿宋_GB2312"/>
          <w:sz w:val="32"/>
          <w:szCs w:val="32"/>
        </w:rPr>
        <w:t>电视基本收视维护费、防空地下室易地建设费；用电、用水、用暖、燃气等执行居民价格，使用固定电话、宽带互联网费用执行家庭住宅价格；非营利性养老服务机构免缴征地管理费、水土保持设施补偿费、水利建设基金、残疾人就业保障金；在达标排放污染物并经环保部门核准的情况下免缴排污费，适当减免环境监测服务费。符合条件的各类养老机构和养老服务组织，按规定享受国家和省对中小企业、小型微利企业、家庭服务业、健康服务业等其他相应的税费优惠政策。高校毕业生、失业人员、农民工、转业退役军人创办养老服务业机构的，自首次注册登记之日起5年内免收各类行政事业性收费。</w:t>
      </w:r>
    </w:p>
    <w:p>
      <w:pPr>
        <w:spacing w:line="566" w:lineRule="exact"/>
        <w:ind w:firstLine="640" w:firstLineChars="200"/>
        <w:rPr>
          <w:rFonts w:eastAsia="仿宋_GB2312"/>
          <w:kern w:val="0"/>
          <w:sz w:val="32"/>
          <w:szCs w:val="32"/>
        </w:rPr>
      </w:pPr>
      <w:r>
        <w:rPr>
          <w:rFonts w:eastAsia="楷体_GB2312"/>
          <w:sz w:val="32"/>
          <w:szCs w:val="32"/>
        </w:rPr>
        <w:t>（五）创新养老服务业发展机制。</w:t>
      </w:r>
      <w:r>
        <w:rPr>
          <w:rFonts w:eastAsia="仿宋_GB2312"/>
          <w:sz w:val="32"/>
          <w:szCs w:val="32"/>
        </w:rPr>
        <w:t>营利性与非营利性养老机构建设、运营，享受同等的财政补助政策。</w:t>
      </w:r>
      <w:r>
        <w:rPr>
          <w:rFonts w:eastAsia="仿宋_GB2312"/>
          <w:kern w:val="0"/>
          <w:sz w:val="32"/>
          <w:szCs w:val="32"/>
        </w:rPr>
        <w:t>允许非营利性养老机构提取一定比例的年度盈余收益，用于奖励投资者。除国家有明确规定外，涉老组织、机构审批及立项、环保、建设、卫生、消防等手续一律由区县办理，养老机构固定资产项目立项一律实行备案制。推行并联审批，必要时可集中会签会审，提高审批效率。将营利性养老服务列入工商部门登记范围。连锁经营的养老服务企业，可由企业总部统一办理企业登记手续。</w:t>
      </w:r>
    </w:p>
    <w:p>
      <w:pPr>
        <w:spacing w:line="566" w:lineRule="exact"/>
        <w:ind w:firstLine="640" w:firstLineChars="200"/>
        <w:rPr>
          <w:rFonts w:eastAsia="仿宋_GB2312"/>
          <w:kern w:val="0"/>
          <w:sz w:val="32"/>
          <w:szCs w:val="32"/>
        </w:rPr>
      </w:pPr>
      <w:r>
        <w:rPr>
          <w:rFonts w:eastAsia="仿宋_GB2312"/>
          <w:kern w:val="0"/>
          <w:sz w:val="32"/>
          <w:szCs w:val="32"/>
        </w:rPr>
        <w:t>推进公办养老机构改革。按照管办分离的要求，在确保国有资产不流失、养老用途不改变、服务水平不降低的前提下，推动专门面向社会经营的公办养老机构积极稳妥地转制为企业。尚未改制和新建的，要积极推行公建民营。鼓励民间资本通过参资入股、收购、委托管理等方式管理运营公办养老机构。</w:t>
      </w:r>
    </w:p>
    <w:p>
      <w:pPr>
        <w:spacing w:line="566" w:lineRule="exact"/>
        <w:ind w:firstLine="640" w:firstLineChars="200"/>
        <w:rPr>
          <w:rFonts w:eastAsia="仿宋_GB2312"/>
          <w:sz w:val="32"/>
          <w:szCs w:val="32"/>
        </w:rPr>
      </w:pPr>
      <w:r>
        <w:rPr>
          <w:rFonts w:eastAsia="仿宋_GB2312"/>
          <w:kern w:val="0"/>
          <w:sz w:val="32"/>
          <w:szCs w:val="32"/>
        </w:rPr>
        <w:t>完善养老服务定价机制。进一步发挥市场在养老服务业发展中的调节作用，由养老机构根据市场需求自主制定价格。政府通过规范市场价格行为，促进各类养老机构公平竞争、有序发展。</w:t>
      </w:r>
    </w:p>
    <w:p>
      <w:pPr>
        <w:spacing w:line="566" w:lineRule="exact"/>
        <w:ind w:firstLine="640" w:firstLineChars="200"/>
        <w:rPr>
          <w:rFonts w:eastAsia="仿宋_GB2312"/>
          <w:sz w:val="32"/>
          <w:szCs w:val="32"/>
        </w:rPr>
      </w:pPr>
      <w:r>
        <w:rPr>
          <w:rFonts w:eastAsia="楷体_GB2312"/>
          <w:sz w:val="32"/>
          <w:szCs w:val="32"/>
        </w:rPr>
        <w:t>（六）加强养老专业人才和服务队伍建设。</w:t>
      </w:r>
      <w:r>
        <w:rPr>
          <w:rFonts w:eastAsia="仿宋_GB2312"/>
          <w:sz w:val="32"/>
          <w:szCs w:val="32"/>
        </w:rPr>
        <w:t>将养老专业人才和服务队伍建设纳入全区人才队伍建设和人力资源保障工作重要内容，建设一支养老服务人员、社会工作者、志愿者相结合的养老服务队伍。支持中等职业学校、技工院校增设养老服务和管理专业，加快培养老年医学、康复、护理、营养、心理和社会工作等专业人才，扩大养老服务专业人才的培养规模。2015-2017年，对经教育部门批准设立养老服务专业的中等职业学校和人社部门批准设立养老服务专业的技工院校，完成招生计划要求、连续独立招生和开展正常教学的，市财政给予每所20万元的一次性奖励。自2015年起，对参加市组织开展的中级养老护理员和养老管理与服务人员培训的，市财政每人补贴1000元。区组织的初级养老护理员培训，对培训合格并取得职业资格技能鉴定证书的，按有关规定给予职业培训补贴。对取得国家养老护理员技师、高级工职业资格证书在符合条件的养老机构护理岗位连续从业2年以上的人员，市财政分别给予1500元、1000元的一次性补助。鼓励本专科毕业生从事养老服务工作，对于与符合条件的养老机构签订3年以上劳动合同并连续从业满1年以上的，市财政分别给予1500元和1000元的一次性补助。推动养老服务从业人员工资待遇与专业技能等级、从业年限挂钩，逐步提高养老服务从业人员的工资待遇。积极培育发展为老志愿服务组织，建立为老志愿服务登记和养老服务储蓄制度，推广供需有效对接的“菜单式”志愿服务。加大对养老护理员的考核奖励力度，每两年组织一次考核评定工作，对评出的优秀单位给予一定的物资奖励。</w:t>
      </w:r>
    </w:p>
    <w:p>
      <w:pPr>
        <w:spacing w:line="566" w:lineRule="exact"/>
        <w:ind w:firstLine="640" w:firstLineChars="200"/>
        <w:rPr>
          <w:rFonts w:hAnsi="黑体" w:eastAsia="黑体"/>
          <w:sz w:val="32"/>
          <w:szCs w:val="32"/>
        </w:rPr>
      </w:pPr>
      <w:r>
        <w:rPr>
          <w:rFonts w:hAnsi="黑体" w:eastAsia="黑体"/>
          <w:sz w:val="32"/>
          <w:szCs w:val="32"/>
        </w:rPr>
        <w:t>五、加强组织领导</w:t>
      </w:r>
    </w:p>
    <w:p>
      <w:pPr>
        <w:spacing w:line="566" w:lineRule="exact"/>
        <w:ind w:firstLine="640" w:firstLineChars="200"/>
        <w:rPr>
          <w:rFonts w:hint="eastAsia" w:eastAsia="仿宋_GB2312"/>
          <w:sz w:val="32"/>
          <w:szCs w:val="32"/>
        </w:rPr>
      </w:pPr>
      <w:r>
        <w:rPr>
          <w:rFonts w:eastAsia="楷体_GB2312"/>
          <w:sz w:val="32"/>
          <w:szCs w:val="32"/>
        </w:rPr>
        <w:t>（一）健全工作机制。</w:t>
      </w:r>
      <w:r>
        <w:rPr>
          <w:rFonts w:eastAsia="仿宋_GB2312"/>
          <w:sz w:val="32"/>
          <w:szCs w:val="32"/>
        </w:rPr>
        <w:t>各级要高度重视养老服务业发展，将其纳入国民经济和社会发展总体规划，纳入政府实施民生工程和为民办实事项目。科学制定养老服务业发展考核指标体系和考核办法，考核结果纳入区对镇、街道领导班子和领导干部科学发展综合考核。强化工作协调机制，充分发挥已经建立的社会养老服务体系建设工作领导小组或联席会议制度的作用，定期分析养老服务业发展情况和存在问题，统筹研究推进养老服务业发展的工作措施；建立完善与养老服务业发展相适应的公共财政投入机制，设立发展养老服务业专项资金，用于支持养老服务业发展。</w:t>
      </w:r>
    </w:p>
    <w:p>
      <w:pPr>
        <w:spacing w:line="566" w:lineRule="exact"/>
        <w:ind w:firstLine="640" w:firstLineChars="200"/>
        <w:rPr>
          <w:rFonts w:eastAsia="仿宋_GB2312"/>
          <w:kern w:val="0"/>
          <w:sz w:val="32"/>
          <w:szCs w:val="32"/>
        </w:rPr>
      </w:pPr>
      <w:r>
        <w:rPr>
          <w:rFonts w:eastAsia="楷体_GB2312"/>
          <w:sz w:val="32"/>
          <w:szCs w:val="32"/>
        </w:rPr>
        <w:t>（二）加强行业监管。</w:t>
      </w:r>
      <w:r>
        <w:rPr>
          <w:rFonts w:eastAsia="仿宋_GB2312"/>
          <w:sz w:val="32"/>
          <w:szCs w:val="32"/>
        </w:rPr>
        <w:t>建立“属地管理”机制，各镇人民政府（街道办事处）是其辖区内养老服务机构的监管主体，要切实履行监管责任。对各类养老机构实施行政许可，建立养老机构等级评定和养老服务评估制度，健全养老服务行业准入、退出、监管机制。</w:t>
      </w:r>
      <w:r>
        <w:rPr>
          <w:rFonts w:eastAsia="仿宋_GB2312"/>
          <w:kern w:val="0"/>
          <w:sz w:val="32"/>
          <w:szCs w:val="32"/>
        </w:rPr>
        <w:t>培育养老服务行业协会、基层老年协会、养老服务企业商会等社会组织，发挥其在行业自律、监督评估、服务中介、沟通协调等方面的作用。完善养老服务业统计制度，建立养老服务业发展评价与监测指标体系，科学、准确反映养老服务业发展状况。</w:t>
      </w:r>
      <w:r>
        <w:rPr>
          <w:rFonts w:eastAsia="仿宋_GB2312"/>
          <w:sz w:val="32"/>
          <w:szCs w:val="32"/>
        </w:rPr>
        <w:t>健全标准规范，完善养老服务基础通用标准、服务技能标准、服务机构管理标准、居家养老服务标准、社区养老服务标准、老年产品用品标准等标准规范，推进养老服务标准化、规范化。</w:t>
      </w:r>
    </w:p>
    <w:p>
      <w:pPr>
        <w:spacing w:line="566" w:lineRule="exact"/>
        <w:ind w:firstLine="640" w:firstLineChars="200"/>
        <w:rPr>
          <w:rFonts w:eastAsia="仿宋_GB2312"/>
          <w:kern w:val="0"/>
          <w:sz w:val="32"/>
          <w:szCs w:val="32"/>
        </w:rPr>
      </w:pPr>
      <w:r>
        <w:rPr>
          <w:rFonts w:eastAsia="楷体_GB2312"/>
          <w:sz w:val="32"/>
          <w:szCs w:val="32"/>
        </w:rPr>
        <w:t>（三）营造良好氛围。</w:t>
      </w:r>
      <w:r>
        <w:rPr>
          <w:rFonts w:eastAsia="仿宋_GB2312"/>
          <w:sz w:val="32"/>
          <w:szCs w:val="32"/>
        </w:rPr>
        <w:t>大力弘扬</w:t>
      </w:r>
      <w:r>
        <w:rPr>
          <w:rFonts w:eastAsia="仿宋_GB2312"/>
          <w:kern w:val="0"/>
          <w:sz w:val="32"/>
          <w:szCs w:val="32"/>
        </w:rPr>
        <w:t>敬老、养老、爱老、助老、孝老传统美德。广泛宣传发展养老服务业的重要意义、扶持政策和先进典型事迹，形成全社会关心、支持、参与养老服务业发展的浓厚氛围。</w:t>
      </w:r>
    </w:p>
    <w:p>
      <w:pPr>
        <w:spacing w:line="566" w:lineRule="exact"/>
        <w:ind w:firstLine="640" w:firstLineChars="200"/>
        <w:rPr>
          <w:rFonts w:eastAsia="仿宋_GB2312"/>
          <w:kern w:val="0"/>
          <w:sz w:val="32"/>
          <w:szCs w:val="32"/>
        </w:rPr>
      </w:pPr>
      <w:r>
        <w:rPr>
          <w:rFonts w:eastAsia="楷体_GB2312"/>
          <w:sz w:val="32"/>
          <w:szCs w:val="32"/>
        </w:rPr>
        <w:t>（四）加强监督检查。</w:t>
      </w:r>
      <w:r>
        <w:rPr>
          <w:rFonts w:eastAsia="仿宋_GB2312"/>
          <w:kern w:val="0"/>
          <w:sz w:val="32"/>
          <w:szCs w:val="32"/>
        </w:rPr>
        <w:t>各镇、街道、经济开发区要根据本意见要求，抓紧制定贯彻实施方案。区有关部门要根据本部门职责，对照任务分工，制定具体政策措施。</w:t>
      </w:r>
    </w:p>
    <w:p>
      <w:pPr>
        <w:spacing w:line="566" w:lineRule="exact"/>
        <w:ind w:firstLine="640" w:firstLineChars="200"/>
        <w:rPr>
          <w:rFonts w:eastAsia="仿宋_GB2312"/>
          <w:sz w:val="32"/>
          <w:szCs w:val="32"/>
        </w:rPr>
      </w:pPr>
      <w:r>
        <w:rPr>
          <w:rFonts w:eastAsia="仿宋_GB2312"/>
          <w:kern w:val="0"/>
          <w:sz w:val="32"/>
          <w:szCs w:val="32"/>
        </w:rPr>
        <w:t>本意见自2016年2月1日起实施，有效期至2021年1月31日。</w:t>
      </w:r>
    </w:p>
    <w:p>
      <w:pPr>
        <w:widowControl/>
        <w:spacing w:line="580" w:lineRule="exact"/>
        <w:ind w:right="1438" w:rightChars="685" w:firstLine="640" w:firstLineChars="200"/>
        <w:rPr>
          <w:rFonts w:eastAsia="仿宋_GB2312"/>
          <w:kern w:val="0"/>
          <w:sz w:val="32"/>
          <w:szCs w:val="32"/>
        </w:rPr>
      </w:pPr>
    </w:p>
    <w:p>
      <w:pPr>
        <w:widowControl/>
        <w:spacing w:line="580" w:lineRule="exact"/>
        <w:ind w:right="1438" w:rightChars="685" w:firstLine="640" w:firstLineChars="200"/>
        <w:rPr>
          <w:rFonts w:eastAsia="仿宋_GB2312"/>
          <w:kern w:val="0"/>
          <w:sz w:val="32"/>
          <w:szCs w:val="32"/>
        </w:rPr>
      </w:pPr>
    </w:p>
    <w:p>
      <w:pPr>
        <w:widowControl/>
        <w:spacing w:line="580" w:lineRule="exact"/>
        <w:ind w:right="1438" w:rightChars="685" w:firstLine="640" w:firstLineChars="200"/>
        <w:rPr>
          <w:rFonts w:eastAsia="仿宋_GB2312"/>
          <w:kern w:val="0"/>
          <w:sz w:val="32"/>
          <w:szCs w:val="32"/>
        </w:rPr>
      </w:pPr>
    </w:p>
    <w:p>
      <w:pPr>
        <w:widowControl/>
        <w:spacing w:line="560" w:lineRule="exact"/>
        <w:ind w:right="1480" w:rightChars="705" w:firstLine="640" w:firstLineChars="200"/>
        <w:jc w:val="right"/>
        <w:rPr>
          <w:rFonts w:eastAsia="仿宋_GB2312"/>
          <w:kern w:val="0"/>
          <w:sz w:val="32"/>
          <w:szCs w:val="32"/>
        </w:rPr>
      </w:pPr>
      <w:r>
        <w:rPr>
          <w:rFonts w:eastAsia="仿宋_GB2312"/>
          <w:kern w:val="0"/>
          <w:sz w:val="32"/>
          <w:szCs w:val="32"/>
        </w:rPr>
        <w:t>周村区人民政府</w:t>
      </w:r>
    </w:p>
    <w:p>
      <w:pPr>
        <w:tabs>
          <w:tab w:val="left" w:pos="7560"/>
          <w:tab w:val="left" w:pos="7825"/>
          <w:tab w:val="left" w:pos="8085"/>
        </w:tabs>
        <w:spacing w:line="560" w:lineRule="exact"/>
        <w:ind w:right="1300" w:rightChars="619" w:firstLine="640" w:firstLineChars="200"/>
        <w:jc w:val="right"/>
        <w:rPr>
          <w:rFonts w:eastAsia="仿宋_GB2312"/>
          <w:sz w:val="32"/>
          <w:szCs w:val="32"/>
        </w:rPr>
      </w:pPr>
      <w:r>
        <w:rPr>
          <w:rFonts w:eastAsia="仿宋_GB2312"/>
          <w:sz w:val="32"/>
          <w:szCs w:val="32"/>
        </w:rPr>
        <w:t>2015年12月31日</w:t>
      </w: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hint="eastAsia" w:eastAsia="仿宋_GB2312"/>
          <w:sz w:val="32"/>
          <w:szCs w:val="32"/>
        </w:rPr>
      </w:pPr>
    </w:p>
    <w:p>
      <w:pPr>
        <w:tabs>
          <w:tab w:val="left" w:pos="7560"/>
          <w:tab w:val="left" w:pos="7825"/>
          <w:tab w:val="left" w:pos="8085"/>
        </w:tabs>
        <w:spacing w:line="240" w:lineRule="exact"/>
        <w:ind w:firstLine="640" w:firstLineChars="200"/>
        <w:rPr>
          <w:rFonts w:eastAsia="仿宋_GB2312"/>
          <w:sz w:val="32"/>
          <w:szCs w:val="32"/>
        </w:rPr>
      </w:pPr>
    </w:p>
    <w:p>
      <w:pPr>
        <w:pStyle w:val="15"/>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pStyle w:val="15"/>
        <w:spacing w:line="340" w:lineRule="exact"/>
        <w:ind w:right="210" w:rightChars="100" w:firstLine="268" w:firstLineChars="100"/>
        <w:jc w:val="both"/>
        <w:rPr>
          <w:rFonts w:ascii="Times New Roman" w:hAnsi="Times New Roman" w:eastAsia="仿宋_GB2312"/>
          <w:spacing w:val="-6"/>
          <w:sz w:val="28"/>
          <w:szCs w:val="28"/>
        </w:rPr>
      </w:pPr>
      <w:r>
        <w:rPr>
          <w:rFonts w:ascii="Times New Roman" w:hAnsi="Times New Roman" w:eastAsia="仿宋_GB2312"/>
          <w:spacing w:val="-6"/>
          <w:sz w:val="28"/>
          <w:szCs w:val="28"/>
        </w:rPr>
        <w:t>抄送：区委办，区人大办，区政协办，区纪委办，区人武部，区法院，</w:t>
      </w:r>
    </w:p>
    <w:p>
      <w:pPr>
        <w:pStyle w:val="15"/>
        <w:spacing w:line="340" w:lineRule="exact"/>
        <w:ind w:right="210" w:rightChars="100" w:firstLine="268" w:firstLineChars="100"/>
        <w:jc w:val="both"/>
        <w:rPr>
          <w:rFonts w:ascii="Times New Roman" w:hAnsi="Times New Roman" w:eastAsia="仿宋_GB2312"/>
          <w:spacing w:val="-6"/>
          <w:sz w:val="28"/>
          <w:szCs w:val="28"/>
        </w:rPr>
      </w:pPr>
      <w:r>
        <w:rPr>
          <w:rFonts w:ascii="Times New Roman" w:hAnsi="Times New Roman" w:eastAsia="仿宋_GB2312"/>
          <w:spacing w:val="-6"/>
          <w:sz w:val="28"/>
          <w:szCs w:val="28"/>
        </w:rPr>
        <w:t xml:space="preserve"> </w:t>
      </w:r>
      <w:r>
        <w:rPr>
          <w:rFonts w:ascii="Times New Roman" w:hAnsi="Times New Roman" w:eastAsia="仿宋_GB2312"/>
          <w:spacing w:val="-2"/>
          <w:sz w:val="28"/>
          <w:szCs w:val="28"/>
        </w:rPr>
        <w:t xml:space="preserve">     </w:t>
      </w:r>
      <w:r>
        <w:rPr>
          <w:rFonts w:ascii="Times New Roman" w:hAnsi="Times New Roman" w:eastAsia="仿宋_GB2312"/>
          <w:spacing w:val="-6"/>
          <w:sz w:val="28"/>
          <w:szCs w:val="28"/>
        </w:rPr>
        <w:t>区检察院。</w:t>
      </w:r>
    </w:p>
    <w:p>
      <w:pPr>
        <w:pStyle w:val="15"/>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5"/>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2015年12月31日印发</w:t>
      </w:r>
    </w:p>
    <w:p>
      <w:pPr>
        <w:pStyle w:val="15"/>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footerReference r:id="rId3" w:type="default"/>
      <w:footerReference r:id="rId4" w:type="even"/>
      <w:pgSz w:w="11907" w:h="16840"/>
      <w:pgMar w:top="2041"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华文中宋">
    <w:altName w:val="汉仪中宋简"/>
    <w:panose1 w:val="02010600040101010101"/>
    <w:charset w:val="00"/>
    <w:family w:val="auto"/>
    <w:pitch w:val="default"/>
    <w:sig w:usb0="00000287" w:usb1="080F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SimSun">
    <w:panose1 w:val="02010600030101010101"/>
    <w:charset w:val="86"/>
    <w:family w:val="auto"/>
    <w:pitch w:val="default"/>
    <w:sig w:usb0="00000003" w:usb1="080E0000" w:usb2="00000000" w:usb3="00000000" w:csb0="00040001" w:csb1="00000000"/>
  </w:font>
  <w:font w:name="Courier New">
    <w:altName w:val="DejaVu Sans"/>
    <w:panose1 w:val="02070309020205020404"/>
    <w:charset w:val="00"/>
    <w:family w:val="modern"/>
    <w:pitch w:val="default"/>
    <w:sig w:usb0="E0003AFF" w:usb1="C0007843" w:usb2="00000009" w:usb3="00000000" w:csb0="000001FF" w:csb1="00000000"/>
  </w:font>
  <w:font w:name="Verdana">
    <w:altName w:val="Ubuntu"/>
    <w:panose1 w:val="020B0604030504040204"/>
    <w:charset w:val="00"/>
    <w:family w:val="swiss"/>
    <w:pitch w:val="default"/>
    <w:sig w:usb0="A10006FF" w:usb1="4000205B" w:usb2="00000010"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right="315" w:rightChars="150" w:firstLine="313" w:firstLineChars="112"/>
      <w:rPr>
        <w:rStyle w:val="23"/>
        <w:rFonts w:hint="eastAsia"/>
        <w:sz w:val="28"/>
        <w:szCs w:val="28"/>
      </w:rPr>
    </w:pPr>
    <w:r>
      <w:rPr>
        <w:rStyle w:val="23"/>
        <w:rFonts w:hint="eastAsia"/>
        <w:sz w:val="28"/>
        <w:szCs w:val="28"/>
      </w:rPr>
      <w:t xml:space="preserve">—  </w:t>
    </w: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lang/>
      </w:rPr>
      <w:t>1</w:t>
    </w:r>
    <w:r>
      <w:rPr>
        <w:rStyle w:val="23"/>
        <w:sz w:val="28"/>
        <w:szCs w:val="28"/>
      </w:rPr>
      <w:fldChar w:fldCharType="end"/>
    </w:r>
    <w:r>
      <w:rPr>
        <w:rStyle w:val="23"/>
        <w:rFonts w:hint="eastAsia"/>
        <w:sz w:val="28"/>
        <w:szCs w:val="28"/>
      </w:rPr>
      <w:t xml:space="preserve">  —</w:t>
    </w:r>
  </w:p>
  <w:p>
    <w:pPr>
      <w:pStyle w:val="1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lang/>
      </w:rPr>
      <w:t>12</w:t>
    </w:r>
    <w:r>
      <w:rPr>
        <w:rStyle w:val="23"/>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1D"/>
    <w:rsid w:val="00002BD4"/>
    <w:rsid w:val="00003710"/>
    <w:rsid w:val="000060E6"/>
    <w:rsid w:val="00010987"/>
    <w:rsid w:val="00011F74"/>
    <w:rsid w:val="00014183"/>
    <w:rsid w:val="000164E7"/>
    <w:rsid w:val="00016F3A"/>
    <w:rsid w:val="00020C26"/>
    <w:rsid w:val="00021435"/>
    <w:rsid w:val="00021EE6"/>
    <w:rsid w:val="00023FE7"/>
    <w:rsid w:val="00024EDF"/>
    <w:rsid w:val="00025F40"/>
    <w:rsid w:val="00026ABA"/>
    <w:rsid w:val="00027C8E"/>
    <w:rsid w:val="00032DA5"/>
    <w:rsid w:val="00034A6F"/>
    <w:rsid w:val="00034D89"/>
    <w:rsid w:val="000367C1"/>
    <w:rsid w:val="00036B54"/>
    <w:rsid w:val="0004003C"/>
    <w:rsid w:val="00042D5E"/>
    <w:rsid w:val="00042D96"/>
    <w:rsid w:val="00042FD2"/>
    <w:rsid w:val="00045DA3"/>
    <w:rsid w:val="00051CEF"/>
    <w:rsid w:val="00051D3E"/>
    <w:rsid w:val="00051F3B"/>
    <w:rsid w:val="00056E98"/>
    <w:rsid w:val="000572C9"/>
    <w:rsid w:val="000729A2"/>
    <w:rsid w:val="00075E02"/>
    <w:rsid w:val="000764D6"/>
    <w:rsid w:val="000773DB"/>
    <w:rsid w:val="000836C7"/>
    <w:rsid w:val="00090E55"/>
    <w:rsid w:val="00091B88"/>
    <w:rsid w:val="000946EF"/>
    <w:rsid w:val="00095038"/>
    <w:rsid w:val="0009740E"/>
    <w:rsid w:val="000A2CEE"/>
    <w:rsid w:val="000A2D9E"/>
    <w:rsid w:val="000A3777"/>
    <w:rsid w:val="000A40A7"/>
    <w:rsid w:val="000A4285"/>
    <w:rsid w:val="000A64A5"/>
    <w:rsid w:val="000A7C4E"/>
    <w:rsid w:val="000B0FA4"/>
    <w:rsid w:val="000B4268"/>
    <w:rsid w:val="000B5230"/>
    <w:rsid w:val="000B57CD"/>
    <w:rsid w:val="000C0BEF"/>
    <w:rsid w:val="000C0F18"/>
    <w:rsid w:val="000C3904"/>
    <w:rsid w:val="000C3B4D"/>
    <w:rsid w:val="000C6DEE"/>
    <w:rsid w:val="000D0495"/>
    <w:rsid w:val="000D5982"/>
    <w:rsid w:val="000D6306"/>
    <w:rsid w:val="000E1F06"/>
    <w:rsid w:val="000E2220"/>
    <w:rsid w:val="000E4EFC"/>
    <w:rsid w:val="000E7A55"/>
    <w:rsid w:val="000F053D"/>
    <w:rsid w:val="000F112F"/>
    <w:rsid w:val="000F2D3E"/>
    <w:rsid w:val="000F3B8A"/>
    <w:rsid w:val="000F53D0"/>
    <w:rsid w:val="000F5BD8"/>
    <w:rsid w:val="00100624"/>
    <w:rsid w:val="00102BEE"/>
    <w:rsid w:val="00105B42"/>
    <w:rsid w:val="00105E97"/>
    <w:rsid w:val="00113128"/>
    <w:rsid w:val="00115745"/>
    <w:rsid w:val="00115E1E"/>
    <w:rsid w:val="001237F0"/>
    <w:rsid w:val="00125776"/>
    <w:rsid w:val="00126295"/>
    <w:rsid w:val="00126651"/>
    <w:rsid w:val="00130359"/>
    <w:rsid w:val="0013616F"/>
    <w:rsid w:val="00136894"/>
    <w:rsid w:val="00141031"/>
    <w:rsid w:val="0014552B"/>
    <w:rsid w:val="0014657E"/>
    <w:rsid w:val="00146F26"/>
    <w:rsid w:val="00152561"/>
    <w:rsid w:val="0015592F"/>
    <w:rsid w:val="001576BE"/>
    <w:rsid w:val="0016061C"/>
    <w:rsid w:val="001609FE"/>
    <w:rsid w:val="00162757"/>
    <w:rsid w:val="0016376F"/>
    <w:rsid w:val="00166606"/>
    <w:rsid w:val="00170394"/>
    <w:rsid w:val="0017185E"/>
    <w:rsid w:val="001740A3"/>
    <w:rsid w:val="001746DA"/>
    <w:rsid w:val="00180185"/>
    <w:rsid w:val="001804BC"/>
    <w:rsid w:val="00180DBB"/>
    <w:rsid w:val="0018471A"/>
    <w:rsid w:val="00185379"/>
    <w:rsid w:val="00186591"/>
    <w:rsid w:val="001908FB"/>
    <w:rsid w:val="0019104E"/>
    <w:rsid w:val="00192B74"/>
    <w:rsid w:val="00196DBE"/>
    <w:rsid w:val="001A083E"/>
    <w:rsid w:val="001A1458"/>
    <w:rsid w:val="001A3713"/>
    <w:rsid w:val="001A5DCF"/>
    <w:rsid w:val="001A669B"/>
    <w:rsid w:val="001B0031"/>
    <w:rsid w:val="001B1192"/>
    <w:rsid w:val="001B177B"/>
    <w:rsid w:val="001B35DF"/>
    <w:rsid w:val="001B3602"/>
    <w:rsid w:val="001B5062"/>
    <w:rsid w:val="001B5BEE"/>
    <w:rsid w:val="001C0B88"/>
    <w:rsid w:val="001C0C01"/>
    <w:rsid w:val="001C19FB"/>
    <w:rsid w:val="001D0429"/>
    <w:rsid w:val="001D4B1E"/>
    <w:rsid w:val="001D5D07"/>
    <w:rsid w:val="001D60FA"/>
    <w:rsid w:val="001D71E9"/>
    <w:rsid w:val="001D730E"/>
    <w:rsid w:val="001D740E"/>
    <w:rsid w:val="001E1955"/>
    <w:rsid w:val="001E2289"/>
    <w:rsid w:val="001E2EFA"/>
    <w:rsid w:val="001E6032"/>
    <w:rsid w:val="001E6CD5"/>
    <w:rsid w:val="001F1602"/>
    <w:rsid w:val="001F636F"/>
    <w:rsid w:val="001F71BF"/>
    <w:rsid w:val="00201D7C"/>
    <w:rsid w:val="0020222B"/>
    <w:rsid w:val="00202492"/>
    <w:rsid w:val="002028AF"/>
    <w:rsid w:val="002033DA"/>
    <w:rsid w:val="00203555"/>
    <w:rsid w:val="0020441C"/>
    <w:rsid w:val="00205625"/>
    <w:rsid w:val="0020646F"/>
    <w:rsid w:val="00206824"/>
    <w:rsid w:val="00207040"/>
    <w:rsid w:val="002071AF"/>
    <w:rsid w:val="002115E6"/>
    <w:rsid w:val="00216D49"/>
    <w:rsid w:val="0022242D"/>
    <w:rsid w:val="0022303E"/>
    <w:rsid w:val="00223E9D"/>
    <w:rsid w:val="00224195"/>
    <w:rsid w:val="00226942"/>
    <w:rsid w:val="00231418"/>
    <w:rsid w:val="002327FC"/>
    <w:rsid w:val="00232DED"/>
    <w:rsid w:val="00234172"/>
    <w:rsid w:val="00234409"/>
    <w:rsid w:val="00234528"/>
    <w:rsid w:val="00235F7F"/>
    <w:rsid w:val="00240575"/>
    <w:rsid w:val="00240B53"/>
    <w:rsid w:val="002413D7"/>
    <w:rsid w:val="00242B7E"/>
    <w:rsid w:val="0024353F"/>
    <w:rsid w:val="00244010"/>
    <w:rsid w:val="00245B2D"/>
    <w:rsid w:val="00247560"/>
    <w:rsid w:val="0025131C"/>
    <w:rsid w:val="00251F2A"/>
    <w:rsid w:val="00252799"/>
    <w:rsid w:val="002543E6"/>
    <w:rsid w:val="00255569"/>
    <w:rsid w:val="00260223"/>
    <w:rsid w:val="00261892"/>
    <w:rsid w:val="00264F54"/>
    <w:rsid w:val="002661C3"/>
    <w:rsid w:val="00270BD6"/>
    <w:rsid w:val="0027138D"/>
    <w:rsid w:val="00272D2D"/>
    <w:rsid w:val="002752A8"/>
    <w:rsid w:val="00275590"/>
    <w:rsid w:val="00280E5A"/>
    <w:rsid w:val="0028403F"/>
    <w:rsid w:val="00284A78"/>
    <w:rsid w:val="00286591"/>
    <w:rsid w:val="00293E9A"/>
    <w:rsid w:val="00295684"/>
    <w:rsid w:val="00296891"/>
    <w:rsid w:val="002968FD"/>
    <w:rsid w:val="00296D1D"/>
    <w:rsid w:val="00297D6D"/>
    <w:rsid w:val="002A1A9E"/>
    <w:rsid w:val="002A2B0F"/>
    <w:rsid w:val="002A2D1E"/>
    <w:rsid w:val="002A3718"/>
    <w:rsid w:val="002A38CA"/>
    <w:rsid w:val="002A4AE0"/>
    <w:rsid w:val="002A549F"/>
    <w:rsid w:val="002A6518"/>
    <w:rsid w:val="002B183D"/>
    <w:rsid w:val="002B462F"/>
    <w:rsid w:val="002B58F8"/>
    <w:rsid w:val="002B7782"/>
    <w:rsid w:val="002C19B8"/>
    <w:rsid w:val="002C1CB2"/>
    <w:rsid w:val="002C54B9"/>
    <w:rsid w:val="002D120C"/>
    <w:rsid w:val="002D2292"/>
    <w:rsid w:val="002D3AFC"/>
    <w:rsid w:val="002E070C"/>
    <w:rsid w:val="002E0C5E"/>
    <w:rsid w:val="002E58A5"/>
    <w:rsid w:val="002E66DF"/>
    <w:rsid w:val="002E7CD7"/>
    <w:rsid w:val="002F1697"/>
    <w:rsid w:val="002F44C2"/>
    <w:rsid w:val="002F4902"/>
    <w:rsid w:val="002F675C"/>
    <w:rsid w:val="002F77F4"/>
    <w:rsid w:val="00301222"/>
    <w:rsid w:val="00306335"/>
    <w:rsid w:val="003067AF"/>
    <w:rsid w:val="003070FB"/>
    <w:rsid w:val="003124C9"/>
    <w:rsid w:val="00314DAD"/>
    <w:rsid w:val="00315A36"/>
    <w:rsid w:val="00321C30"/>
    <w:rsid w:val="00323E28"/>
    <w:rsid w:val="0032542A"/>
    <w:rsid w:val="00326054"/>
    <w:rsid w:val="003277B1"/>
    <w:rsid w:val="00333947"/>
    <w:rsid w:val="00333948"/>
    <w:rsid w:val="003345D6"/>
    <w:rsid w:val="0033664F"/>
    <w:rsid w:val="00336874"/>
    <w:rsid w:val="00340807"/>
    <w:rsid w:val="00341993"/>
    <w:rsid w:val="00342C44"/>
    <w:rsid w:val="00342C83"/>
    <w:rsid w:val="003437F4"/>
    <w:rsid w:val="0035075C"/>
    <w:rsid w:val="0035243A"/>
    <w:rsid w:val="00354052"/>
    <w:rsid w:val="00356779"/>
    <w:rsid w:val="003635AB"/>
    <w:rsid w:val="00366118"/>
    <w:rsid w:val="00371029"/>
    <w:rsid w:val="00371224"/>
    <w:rsid w:val="00371B12"/>
    <w:rsid w:val="00372130"/>
    <w:rsid w:val="00374822"/>
    <w:rsid w:val="00376BF6"/>
    <w:rsid w:val="0038056F"/>
    <w:rsid w:val="003806CD"/>
    <w:rsid w:val="00380D1C"/>
    <w:rsid w:val="003814D9"/>
    <w:rsid w:val="00382ADC"/>
    <w:rsid w:val="003834E8"/>
    <w:rsid w:val="003842B1"/>
    <w:rsid w:val="0038463E"/>
    <w:rsid w:val="003864BA"/>
    <w:rsid w:val="0038726B"/>
    <w:rsid w:val="003878EC"/>
    <w:rsid w:val="00394053"/>
    <w:rsid w:val="00394952"/>
    <w:rsid w:val="0039754E"/>
    <w:rsid w:val="003A32F9"/>
    <w:rsid w:val="003A482E"/>
    <w:rsid w:val="003A5F3F"/>
    <w:rsid w:val="003B3CC5"/>
    <w:rsid w:val="003B76B0"/>
    <w:rsid w:val="003C11C1"/>
    <w:rsid w:val="003C1829"/>
    <w:rsid w:val="003C3329"/>
    <w:rsid w:val="003C38C1"/>
    <w:rsid w:val="003C4624"/>
    <w:rsid w:val="003C4C1F"/>
    <w:rsid w:val="003C67D5"/>
    <w:rsid w:val="003C76DF"/>
    <w:rsid w:val="003D0A28"/>
    <w:rsid w:val="003D1970"/>
    <w:rsid w:val="003D6298"/>
    <w:rsid w:val="003D7BFB"/>
    <w:rsid w:val="003E00E9"/>
    <w:rsid w:val="003E0F19"/>
    <w:rsid w:val="003E1D98"/>
    <w:rsid w:val="003E3489"/>
    <w:rsid w:val="003E403A"/>
    <w:rsid w:val="003E5127"/>
    <w:rsid w:val="003F0A64"/>
    <w:rsid w:val="003F2514"/>
    <w:rsid w:val="003F2AFA"/>
    <w:rsid w:val="003F30E8"/>
    <w:rsid w:val="003F5B82"/>
    <w:rsid w:val="00400219"/>
    <w:rsid w:val="0040380E"/>
    <w:rsid w:val="00406492"/>
    <w:rsid w:val="00413747"/>
    <w:rsid w:val="00414612"/>
    <w:rsid w:val="00415B42"/>
    <w:rsid w:val="00417671"/>
    <w:rsid w:val="00417874"/>
    <w:rsid w:val="00421E01"/>
    <w:rsid w:val="004234F1"/>
    <w:rsid w:val="00424CA7"/>
    <w:rsid w:val="00425A72"/>
    <w:rsid w:val="00425BAB"/>
    <w:rsid w:val="00427F1D"/>
    <w:rsid w:val="00443904"/>
    <w:rsid w:val="00443B0B"/>
    <w:rsid w:val="00445D13"/>
    <w:rsid w:val="00446FF1"/>
    <w:rsid w:val="004471EB"/>
    <w:rsid w:val="00447B5C"/>
    <w:rsid w:val="0045125F"/>
    <w:rsid w:val="00451C1A"/>
    <w:rsid w:val="00452227"/>
    <w:rsid w:val="00454592"/>
    <w:rsid w:val="00460D17"/>
    <w:rsid w:val="00463DDB"/>
    <w:rsid w:val="00473B20"/>
    <w:rsid w:val="00473D42"/>
    <w:rsid w:val="00476F8D"/>
    <w:rsid w:val="00477D3F"/>
    <w:rsid w:val="00480561"/>
    <w:rsid w:val="004816F8"/>
    <w:rsid w:val="0048319C"/>
    <w:rsid w:val="00484C8E"/>
    <w:rsid w:val="00485108"/>
    <w:rsid w:val="00487164"/>
    <w:rsid w:val="0049126D"/>
    <w:rsid w:val="00492965"/>
    <w:rsid w:val="00492C00"/>
    <w:rsid w:val="00492DD7"/>
    <w:rsid w:val="004938BC"/>
    <w:rsid w:val="00494771"/>
    <w:rsid w:val="00494E1E"/>
    <w:rsid w:val="00495292"/>
    <w:rsid w:val="00497CEE"/>
    <w:rsid w:val="004A056E"/>
    <w:rsid w:val="004A3360"/>
    <w:rsid w:val="004A3F46"/>
    <w:rsid w:val="004A416D"/>
    <w:rsid w:val="004A4A93"/>
    <w:rsid w:val="004A6329"/>
    <w:rsid w:val="004B051B"/>
    <w:rsid w:val="004B101F"/>
    <w:rsid w:val="004B1AB0"/>
    <w:rsid w:val="004B26CA"/>
    <w:rsid w:val="004B277A"/>
    <w:rsid w:val="004B5513"/>
    <w:rsid w:val="004B7949"/>
    <w:rsid w:val="004C0B21"/>
    <w:rsid w:val="004C1DAC"/>
    <w:rsid w:val="004C2427"/>
    <w:rsid w:val="004C2C9B"/>
    <w:rsid w:val="004C2D9C"/>
    <w:rsid w:val="004C4F0A"/>
    <w:rsid w:val="004C5D83"/>
    <w:rsid w:val="004D0049"/>
    <w:rsid w:val="004D0CEA"/>
    <w:rsid w:val="004D0EC1"/>
    <w:rsid w:val="004D34ED"/>
    <w:rsid w:val="004D3720"/>
    <w:rsid w:val="004D4EB1"/>
    <w:rsid w:val="004D68B2"/>
    <w:rsid w:val="004E0CE0"/>
    <w:rsid w:val="004E16AF"/>
    <w:rsid w:val="004E25CD"/>
    <w:rsid w:val="004E4728"/>
    <w:rsid w:val="004E6055"/>
    <w:rsid w:val="004E68DD"/>
    <w:rsid w:val="004F311D"/>
    <w:rsid w:val="004F3518"/>
    <w:rsid w:val="004F4DCE"/>
    <w:rsid w:val="004F5B35"/>
    <w:rsid w:val="004F7844"/>
    <w:rsid w:val="00500F11"/>
    <w:rsid w:val="0050413A"/>
    <w:rsid w:val="00505FE4"/>
    <w:rsid w:val="005073B8"/>
    <w:rsid w:val="00507A02"/>
    <w:rsid w:val="00510013"/>
    <w:rsid w:val="005101C3"/>
    <w:rsid w:val="005114DE"/>
    <w:rsid w:val="00514B94"/>
    <w:rsid w:val="00515782"/>
    <w:rsid w:val="005161A0"/>
    <w:rsid w:val="005251F7"/>
    <w:rsid w:val="00525872"/>
    <w:rsid w:val="00531877"/>
    <w:rsid w:val="005318B5"/>
    <w:rsid w:val="005325D2"/>
    <w:rsid w:val="0053363E"/>
    <w:rsid w:val="005355D5"/>
    <w:rsid w:val="00535D81"/>
    <w:rsid w:val="005363D8"/>
    <w:rsid w:val="005412E3"/>
    <w:rsid w:val="00541EF6"/>
    <w:rsid w:val="00542065"/>
    <w:rsid w:val="005422AB"/>
    <w:rsid w:val="005427F4"/>
    <w:rsid w:val="00542D57"/>
    <w:rsid w:val="00543EEC"/>
    <w:rsid w:val="0054427F"/>
    <w:rsid w:val="005459D0"/>
    <w:rsid w:val="00546599"/>
    <w:rsid w:val="00546FE3"/>
    <w:rsid w:val="0054718E"/>
    <w:rsid w:val="00550E88"/>
    <w:rsid w:val="00551574"/>
    <w:rsid w:val="00551AD7"/>
    <w:rsid w:val="00554086"/>
    <w:rsid w:val="0055579A"/>
    <w:rsid w:val="00555A43"/>
    <w:rsid w:val="00560FF3"/>
    <w:rsid w:val="00562F36"/>
    <w:rsid w:val="00563E99"/>
    <w:rsid w:val="00565CF9"/>
    <w:rsid w:val="005674D2"/>
    <w:rsid w:val="00570153"/>
    <w:rsid w:val="005705D1"/>
    <w:rsid w:val="00570D65"/>
    <w:rsid w:val="00570DFB"/>
    <w:rsid w:val="005723AC"/>
    <w:rsid w:val="005735BD"/>
    <w:rsid w:val="005744F2"/>
    <w:rsid w:val="00574918"/>
    <w:rsid w:val="00583830"/>
    <w:rsid w:val="005844DD"/>
    <w:rsid w:val="00591887"/>
    <w:rsid w:val="00591B4A"/>
    <w:rsid w:val="00592E15"/>
    <w:rsid w:val="005930DB"/>
    <w:rsid w:val="005970B1"/>
    <w:rsid w:val="0059742E"/>
    <w:rsid w:val="005A0775"/>
    <w:rsid w:val="005A1AEC"/>
    <w:rsid w:val="005A2932"/>
    <w:rsid w:val="005A3CDC"/>
    <w:rsid w:val="005A4CB4"/>
    <w:rsid w:val="005A4FB7"/>
    <w:rsid w:val="005A6D67"/>
    <w:rsid w:val="005B0649"/>
    <w:rsid w:val="005B6136"/>
    <w:rsid w:val="005C0091"/>
    <w:rsid w:val="005C0A64"/>
    <w:rsid w:val="005C0B79"/>
    <w:rsid w:val="005C37BE"/>
    <w:rsid w:val="005C7535"/>
    <w:rsid w:val="005C76E5"/>
    <w:rsid w:val="005D0288"/>
    <w:rsid w:val="005D305B"/>
    <w:rsid w:val="005D312B"/>
    <w:rsid w:val="005D398F"/>
    <w:rsid w:val="005D4FAE"/>
    <w:rsid w:val="005D5C48"/>
    <w:rsid w:val="005D78D7"/>
    <w:rsid w:val="005E0A34"/>
    <w:rsid w:val="005E60A5"/>
    <w:rsid w:val="005E6A54"/>
    <w:rsid w:val="005E722A"/>
    <w:rsid w:val="005F4DB3"/>
    <w:rsid w:val="005F59F0"/>
    <w:rsid w:val="006004FA"/>
    <w:rsid w:val="00601EA5"/>
    <w:rsid w:val="00602A0D"/>
    <w:rsid w:val="006045C4"/>
    <w:rsid w:val="00607A01"/>
    <w:rsid w:val="00613020"/>
    <w:rsid w:val="0061473A"/>
    <w:rsid w:val="00617C4B"/>
    <w:rsid w:val="00623DC0"/>
    <w:rsid w:val="0062554F"/>
    <w:rsid w:val="0062702B"/>
    <w:rsid w:val="00631108"/>
    <w:rsid w:val="0063384C"/>
    <w:rsid w:val="00635302"/>
    <w:rsid w:val="00636040"/>
    <w:rsid w:val="0063618B"/>
    <w:rsid w:val="006374C7"/>
    <w:rsid w:val="00641B96"/>
    <w:rsid w:val="00643FEF"/>
    <w:rsid w:val="00644835"/>
    <w:rsid w:val="00645C79"/>
    <w:rsid w:val="00650B36"/>
    <w:rsid w:val="00651945"/>
    <w:rsid w:val="00651A3E"/>
    <w:rsid w:val="00651D7B"/>
    <w:rsid w:val="006537B2"/>
    <w:rsid w:val="00657965"/>
    <w:rsid w:val="00660BDB"/>
    <w:rsid w:val="006626FD"/>
    <w:rsid w:val="00663F77"/>
    <w:rsid w:val="00664B04"/>
    <w:rsid w:val="006650C2"/>
    <w:rsid w:val="006650F6"/>
    <w:rsid w:val="00665818"/>
    <w:rsid w:val="00667ADA"/>
    <w:rsid w:val="00672528"/>
    <w:rsid w:val="006746DB"/>
    <w:rsid w:val="00675C43"/>
    <w:rsid w:val="00675D70"/>
    <w:rsid w:val="006762A7"/>
    <w:rsid w:val="00681AA0"/>
    <w:rsid w:val="006820B4"/>
    <w:rsid w:val="0068291F"/>
    <w:rsid w:val="0068417D"/>
    <w:rsid w:val="00684C15"/>
    <w:rsid w:val="0069010D"/>
    <w:rsid w:val="00693DF0"/>
    <w:rsid w:val="00697884"/>
    <w:rsid w:val="006A0024"/>
    <w:rsid w:val="006A070E"/>
    <w:rsid w:val="006A23B3"/>
    <w:rsid w:val="006A4AB8"/>
    <w:rsid w:val="006A4D62"/>
    <w:rsid w:val="006A56F8"/>
    <w:rsid w:val="006A6514"/>
    <w:rsid w:val="006B0945"/>
    <w:rsid w:val="006B14B5"/>
    <w:rsid w:val="006B159C"/>
    <w:rsid w:val="006B20E8"/>
    <w:rsid w:val="006B2970"/>
    <w:rsid w:val="006B2B6E"/>
    <w:rsid w:val="006B5083"/>
    <w:rsid w:val="006B6557"/>
    <w:rsid w:val="006B797C"/>
    <w:rsid w:val="006C0F8A"/>
    <w:rsid w:val="006C22B4"/>
    <w:rsid w:val="006D549E"/>
    <w:rsid w:val="006D638B"/>
    <w:rsid w:val="006E150C"/>
    <w:rsid w:val="006E355B"/>
    <w:rsid w:val="006E4D84"/>
    <w:rsid w:val="006E5F81"/>
    <w:rsid w:val="006E67E4"/>
    <w:rsid w:val="006E6A4A"/>
    <w:rsid w:val="006E7893"/>
    <w:rsid w:val="006F0465"/>
    <w:rsid w:val="006F0B3D"/>
    <w:rsid w:val="006F158B"/>
    <w:rsid w:val="006F19D4"/>
    <w:rsid w:val="006F489F"/>
    <w:rsid w:val="006F5CFC"/>
    <w:rsid w:val="006F7C9A"/>
    <w:rsid w:val="006F7F81"/>
    <w:rsid w:val="00703556"/>
    <w:rsid w:val="00703BFD"/>
    <w:rsid w:val="0070423B"/>
    <w:rsid w:val="00705EDE"/>
    <w:rsid w:val="00706564"/>
    <w:rsid w:val="0071107E"/>
    <w:rsid w:val="0071194A"/>
    <w:rsid w:val="00711F8F"/>
    <w:rsid w:val="007135AC"/>
    <w:rsid w:val="00713B67"/>
    <w:rsid w:val="00714336"/>
    <w:rsid w:val="00714DE1"/>
    <w:rsid w:val="00716EBA"/>
    <w:rsid w:val="00716ED5"/>
    <w:rsid w:val="007207FB"/>
    <w:rsid w:val="00720993"/>
    <w:rsid w:val="00721BCE"/>
    <w:rsid w:val="00722686"/>
    <w:rsid w:val="0072318E"/>
    <w:rsid w:val="00727007"/>
    <w:rsid w:val="00730063"/>
    <w:rsid w:val="00733133"/>
    <w:rsid w:val="00736BD5"/>
    <w:rsid w:val="00743409"/>
    <w:rsid w:val="007440B6"/>
    <w:rsid w:val="00752AD2"/>
    <w:rsid w:val="00756E3C"/>
    <w:rsid w:val="00760036"/>
    <w:rsid w:val="00760B95"/>
    <w:rsid w:val="007625D9"/>
    <w:rsid w:val="007626D5"/>
    <w:rsid w:val="00765C53"/>
    <w:rsid w:val="00766940"/>
    <w:rsid w:val="00767E79"/>
    <w:rsid w:val="007709B3"/>
    <w:rsid w:val="00772330"/>
    <w:rsid w:val="00773653"/>
    <w:rsid w:val="00775C23"/>
    <w:rsid w:val="0078026D"/>
    <w:rsid w:val="0078034D"/>
    <w:rsid w:val="00783D22"/>
    <w:rsid w:val="007846E3"/>
    <w:rsid w:val="007903DD"/>
    <w:rsid w:val="00790A8B"/>
    <w:rsid w:val="00791C8D"/>
    <w:rsid w:val="00792ADA"/>
    <w:rsid w:val="00795E07"/>
    <w:rsid w:val="00796BD1"/>
    <w:rsid w:val="00797144"/>
    <w:rsid w:val="00797AE1"/>
    <w:rsid w:val="007A4D1A"/>
    <w:rsid w:val="007B1C47"/>
    <w:rsid w:val="007B1FEA"/>
    <w:rsid w:val="007B2B26"/>
    <w:rsid w:val="007B7A9A"/>
    <w:rsid w:val="007C1163"/>
    <w:rsid w:val="007C21E8"/>
    <w:rsid w:val="007C3469"/>
    <w:rsid w:val="007C3BB3"/>
    <w:rsid w:val="007C5E12"/>
    <w:rsid w:val="007C6D50"/>
    <w:rsid w:val="007D0AB4"/>
    <w:rsid w:val="007D0CE7"/>
    <w:rsid w:val="007D2FBC"/>
    <w:rsid w:val="007D53EA"/>
    <w:rsid w:val="007D694A"/>
    <w:rsid w:val="007D7931"/>
    <w:rsid w:val="007D7DC7"/>
    <w:rsid w:val="007E00C6"/>
    <w:rsid w:val="007E4116"/>
    <w:rsid w:val="007E4CCD"/>
    <w:rsid w:val="007E7CE7"/>
    <w:rsid w:val="007F0FCE"/>
    <w:rsid w:val="007F3F07"/>
    <w:rsid w:val="007F4F4A"/>
    <w:rsid w:val="007F6E4C"/>
    <w:rsid w:val="007F7898"/>
    <w:rsid w:val="007F7BFA"/>
    <w:rsid w:val="008037B6"/>
    <w:rsid w:val="0080396D"/>
    <w:rsid w:val="00804EDD"/>
    <w:rsid w:val="00813317"/>
    <w:rsid w:val="00814267"/>
    <w:rsid w:val="00815103"/>
    <w:rsid w:val="0081655B"/>
    <w:rsid w:val="0081711C"/>
    <w:rsid w:val="00823ECC"/>
    <w:rsid w:val="008248E4"/>
    <w:rsid w:val="00830B9A"/>
    <w:rsid w:val="00830F49"/>
    <w:rsid w:val="00830F9B"/>
    <w:rsid w:val="008312A4"/>
    <w:rsid w:val="00831368"/>
    <w:rsid w:val="00831D42"/>
    <w:rsid w:val="0083294F"/>
    <w:rsid w:val="008331FA"/>
    <w:rsid w:val="00833D47"/>
    <w:rsid w:val="00834F8F"/>
    <w:rsid w:val="008352F5"/>
    <w:rsid w:val="00837032"/>
    <w:rsid w:val="008402EC"/>
    <w:rsid w:val="008455A7"/>
    <w:rsid w:val="00851013"/>
    <w:rsid w:val="00854BAA"/>
    <w:rsid w:val="00854F2D"/>
    <w:rsid w:val="00856394"/>
    <w:rsid w:val="00856853"/>
    <w:rsid w:val="00862827"/>
    <w:rsid w:val="00863899"/>
    <w:rsid w:val="00863ABC"/>
    <w:rsid w:val="0086776C"/>
    <w:rsid w:val="00873711"/>
    <w:rsid w:val="0087520B"/>
    <w:rsid w:val="00876EB0"/>
    <w:rsid w:val="00877A57"/>
    <w:rsid w:val="00881D44"/>
    <w:rsid w:val="00892A19"/>
    <w:rsid w:val="008935AB"/>
    <w:rsid w:val="008A18B9"/>
    <w:rsid w:val="008A1B89"/>
    <w:rsid w:val="008A4A05"/>
    <w:rsid w:val="008A7DEF"/>
    <w:rsid w:val="008B37BE"/>
    <w:rsid w:val="008B4749"/>
    <w:rsid w:val="008B5BB1"/>
    <w:rsid w:val="008B68BC"/>
    <w:rsid w:val="008C27E7"/>
    <w:rsid w:val="008C4234"/>
    <w:rsid w:val="008C47AF"/>
    <w:rsid w:val="008C62AA"/>
    <w:rsid w:val="008C6ECC"/>
    <w:rsid w:val="008C74AE"/>
    <w:rsid w:val="008D1240"/>
    <w:rsid w:val="008D3B7C"/>
    <w:rsid w:val="008D7014"/>
    <w:rsid w:val="008D7F27"/>
    <w:rsid w:val="008D7F81"/>
    <w:rsid w:val="008E20CB"/>
    <w:rsid w:val="008E3A2A"/>
    <w:rsid w:val="008E42DE"/>
    <w:rsid w:val="008E4D17"/>
    <w:rsid w:val="008F1AAF"/>
    <w:rsid w:val="008F42A8"/>
    <w:rsid w:val="008F484D"/>
    <w:rsid w:val="008F4BA6"/>
    <w:rsid w:val="008F6B78"/>
    <w:rsid w:val="00900B07"/>
    <w:rsid w:val="00901669"/>
    <w:rsid w:val="00902C73"/>
    <w:rsid w:val="00902CAE"/>
    <w:rsid w:val="00903A6B"/>
    <w:rsid w:val="00905316"/>
    <w:rsid w:val="009104A8"/>
    <w:rsid w:val="00911BC8"/>
    <w:rsid w:val="00911D9C"/>
    <w:rsid w:val="00914CBB"/>
    <w:rsid w:val="00916446"/>
    <w:rsid w:val="00916C77"/>
    <w:rsid w:val="00922829"/>
    <w:rsid w:val="00923380"/>
    <w:rsid w:val="00923841"/>
    <w:rsid w:val="00926C36"/>
    <w:rsid w:val="00930CE9"/>
    <w:rsid w:val="00930DCE"/>
    <w:rsid w:val="00931173"/>
    <w:rsid w:val="009353AE"/>
    <w:rsid w:val="0093618A"/>
    <w:rsid w:val="009379A1"/>
    <w:rsid w:val="00941B0E"/>
    <w:rsid w:val="009423C5"/>
    <w:rsid w:val="009504D4"/>
    <w:rsid w:val="00951F60"/>
    <w:rsid w:val="009558FF"/>
    <w:rsid w:val="00955C44"/>
    <w:rsid w:val="009561DF"/>
    <w:rsid w:val="009572F8"/>
    <w:rsid w:val="00962377"/>
    <w:rsid w:val="00962856"/>
    <w:rsid w:val="00962EBD"/>
    <w:rsid w:val="00963A51"/>
    <w:rsid w:val="00967340"/>
    <w:rsid w:val="009706CA"/>
    <w:rsid w:val="00972981"/>
    <w:rsid w:val="009751DF"/>
    <w:rsid w:val="00975A31"/>
    <w:rsid w:val="009763CB"/>
    <w:rsid w:val="0097688E"/>
    <w:rsid w:val="0098513B"/>
    <w:rsid w:val="00985A68"/>
    <w:rsid w:val="00986434"/>
    <w:rsid w:val="00987D3A"/>
    <w:rsid w:val="00990369"/>
    <w:rsid w:val="00996609"/>
    <w:rsid w:val="009A3A9B"/>
    <w:rsid w:val="009B2989"/>
    <w:rsid w:val="009B3488"/>
    <w:rsid w:val="009B34BE"/>
    <w:rsid w:val="009B4313"/>
    <w:rsid w:val="009B7703"/>
    <w:rsid w:val="009C01A1"/>
    <w:rsid w:val="009C0671"/>
    <w:rsid w:val="009C0EE7"/>
    <w:rsid w:val="009C156E"/>
    <w:rsid w:val="009C19D5"/>
    <w:rsid w:val="009C33F4"/>
    <w:rsid w:val="009C3ADE"/>
    <w:rsid w:val="009C3C5F"/>
    <w:rsid w:val="009C43A1"/>
    <w:rsid w:val="009C5F04"/>
    <w:rsid w:val="009D41F5"/>
    <w:rsid w:val="009D55E5"/>
    <w:rsid w:val="009D7925"/>
    <w:rsid w:val="009E1832"/>
    <w:rsid w:val="009E2141"/>
    <w:rsid w:val="009E2F84"/>
    <w:rsid w:val="009E3DAC"/>
    <w:rsid w:val="009E6037"/>
    <w:rsid w:val="009E6707"/>
    <w:rsid w:val="009F41C0"/>
    <w:rsid w:val="009F7B2C"/>
    <w:rsid w:val="00A011E3"/>
    <w:rsid w:val="00A016EE"/>
    <w:rsid w:val="00A020FF"/>
    <w:rsid w:val="00A06A84"/>
    <w:rsid w:val="00A07FCE"/>
    <w:rsid w:val="00A14560"/>
    <w:rsid w:val="00A179F3"/>
    <w:rsid w:val="00A17AD1"/>
    <w:rsid w:val="00A208CC"/>
    <w:rsid w:val="00A214B4"/>
    <w:rsid w:val="00A221E4"/>
    <w:rsid w:val="00A226D5"/>
    <w:rsid w:val="00A22DB7"/>
    <w:rsid w:val="00A23224"/>
    <w:rsid w:val="00A254DB"/>
    <w:rsid w:val="00A26D38"/>
    <w:rsid w:val="00A306A4"/>
    <w:rsid w:val="00A37517"/>
    <w:rsid w:val="00A405CB"/>
    <w:rsid w:val="00A40FA3"/>
    <w:rsid w:val="00A455DE"/>
    <w:rsid w:val="00A50A3E"/>
    <w:rsid w:val="00A51729"/>
    <w:rsid w:val="00A559C2"/>
    <w:rsid w:val="00A577BE"/>
    <w:rsid w:val="00A62246"/>
    <w:rsid w:val="00A6369B"/>
    <w:rsid w:val="00A677D5"/>
    <w:rsid w:val="00A67B37"/>
    <w:rsid w:val="00A708E6"/>
    <w:rsid w:val="00A72480"/>
    <w:rsid w:val="00A75B90"/>
    <w:rsid w:val="00A762A3"/>
    <w:rsid w:val="00A76562"/>
    <w:rsid w:val="00A77245"/>
    <w:rsid w:val="00A808F3"/>
    <w:rsid w:val="00A82170"/>
    <w:rsid w:val="00A83A37"/>
    <w:rsid w:val="00A843AE"/>
    <w:rsid w:val="00A901B9"/>
    <w:rsid w:val="00A90772"/>
    <w:rsid w:val="00A918B4"/>
    <w:rsid w:val="00A94864"/>
    <w:rsid w:val="00A95BA8"/>
    <w:rsid w:val="00A967E4"/>
    <w:rsid w:val="00AA0199"/>
    <w:rsid w:val="00AA0844"/>
    <w:rsid w:val="00AA0BCF"/>
    <w:rsid w:val="00AA169B"/>
    <w:rsid w:val="00AA1E94"/>
    <w:rsid w:val="00AA50AF"/>
    <w:rsid w:val="00AA64E7"/>
    <w:rsid w:val="00AA657D"/>
    <w:rsid w:val="00AB07FF"/>
    <w:rsid w:val="00AB0F75"/>
    <w:rsid w:val="00AB4330"/>
    <w:rsid w:val="00AB617C"/>
    <w:rsid w:val="00AB658B"/>
    <w:rsid w:val="00AB7DC4"/>
    <w:rsid w:val="00AC4423"/>
    <w:rsid w:val="00AC4C90"/>
    <w:rsid w:val="00AC76B8"/>
    <w:rsid w:val="00AD0E24"/>
    <w:rsid w:val="00AD29CE"/>
    <w:rsid w:val="00AD3990"/>
    <w:rsid w:val="00AD5F2D"/>
    <w:rsid w:val="00AD6FBE"/>
    <w:rsid w:val="00AF2045"/>
    <w:rsid w:val="00AF2FAA"/>
    <w:rsid w:val="00AF353C"/>
    <w:rsid w:val="00AF3595"/>
    <w:rsid w:val="00AF5271"/>
    <w:rsid w:val="00AF5AF4"/>
    <w:rsid w:val="00B0259B"/>
    <w:rsid w:val="00B034E4"/>
    <w:rsid w:val="00B047F2"/>
    <w:rsid w:val="00B04B50"/>
    <w:rsid w:val="00B0542D"/>
    <w:rsid w:val="00B06F37"/>
    <w:rsid w:val="00B115AB"/>
    <w:rsid w:val="00B13E78"/>
    <w:rsid w:val="00B20CE3"/>
    <w:rsid w:val="00B2229C"/>
    <w:rsid w:val="00B222A2"/>
    <w:rsid w:val="00B223FA"/>
    <w:rsid w:val="00B22CC9"/>
    <w:rsid w:val="00B243C8"/>
    <w:rsid w:val="00B24C6E"/>
    <w:rsid w:val="00B25CFF"/>
    <w:rsid w:val="00B27ADA"/>
    <w:rsid w:val="00B31A91"/>
    <w:rsid w:val="00B31D15"/>
    <w:rsid w:val="00B3505D"/>
    <w:rsid w:val="00B35906"/>
    <w:rsid w:val="00B37041"/>
    <w:rsid w:val="00B40440"/>
    <w:rsid w:val="00B408F1"/>
    <w:rsid w:val="00B514CF"/>
    <w:rsid w:val="00B52006"/>
    <w:rsid w:val="00B52D9E"/>
    <w:rsid w:val="00B52FCE"/>
    <w:rsid w:val="00B53C3B"/>
    <w:rsid w:val="00B54736"/>
    <w:rsid w:val="00B56706"/>
    <w:rsid w:val="00B60FE7"/>
    <w:rsid w:val="00B6141D"/>
    <w:rsid w:val="00B619EC"/>
    <w:rsid w:val="00B61EDD"/>
    <w:rsid w:val="00B62CFB"/>
    <w:rsid w:val="00B62E35"/>
    <w:rsid w:val="00B63AF1"/>
    <w:rsid w:val="00B67555"/>
    <w:rsid w:val="00B67CC4"/>
    <w:rsid w:val="00B74AD3"/>
    <w:rsid w:val="00B75028"/>
    <w:rsid w:val="00B758A2"/>
    <w:rsid w:val="00B76F47"/>
    <w:rsid w:val="00B7768A"/>
    <w:rsid w:val="00B81AB0"/>
    <w:rsid w:val="00B8361E"/>
    <w:rsid w:val="00B83F75"/>
    <w:rsid w:val="00B84CBD"/>
    <w:rsid w:val="00B85137"/>
    <w:rsid w:val="00B90C25"/>
    <w:rsid w:val="00B92C4D"/>
    <w:rsid w:val="00B93386"/>
    <w:rsid w:val="00B948A0"/>
    <w:rsid w:val="00BA3301"/>
    <w:rsid w:val="00BA47EC"/>
    <w:rsid w:val="00BA7227"/>
    <w:rsid w:val="00BB10B6"/>
    <w:rsid w:val="00BB2791"/>
    <w:rsid w:val="00BB5BE4"/>
    <w:rsid w:val="00BB6BED"/>
    <w:rsid w:val="00BC16D5"/>
    <w:rsid w:val="00BC2557"/>
    <w:rsid w:val="00BC3AC4"/>
    <w:rsid w:val="00BC6875"/>
    <w:rsid w:val="00BD1B36"/>
    <w:rsid w:val="00BD2388"/>
    <w:rsid w:val="00BD2C22"/>
    <w:rsid w:val="00BD2F19"/>
    <w:rsid w:val="00BD381C"/>
    <w:rsid w:val="00BD3DEE"/>
    <w:rsid w:val="00BE65E2"/>
    <w:rsid w:val="00BE7CC4"/>
    <w:rsid w:val="00C017BF"/>
    <w:rsid w:val="00C0240C"/>
    <w:rsid w:val="00C060EE"/>
    <w:rsid w:val="00C06878"/>
    <w:rsid w:val="00C12D4F"/>
    <w:rsid w:val="00C130BB"/>
    <w:rsid w:val="00C1564A"/>
    <w:rsid w:val="00C156DD"/>
    <w:rsid w:val="00C23C0D"/>
    <w:rsid w:val="00C23E88"/>
    <w:rsid w:val="00C23F14"/>
    <w:rsid w:val="00C23F26"/>
    <w:rsid w:val="00C242EE"/>
    <w:rsid w:val="00C245F1"/>
    <w:rsid w:val="00C24881"/>
    <w:rsid w:val="00C24B89"/>
    <w:rsid w:val="00C27ED6"/>
    <w:rsid w:val="00C30404"/>
    <w:rsid w:val="00C31B05"/>
    <w:rsid w:val="00C32ACF"/>
    <w:rsid w:val="00C34A37"/>
    <w:rsid w:val="00C40E43"/>
    <w:rsid w:val="00C417B9"/>
    <w:rsid w:val="00C4231B"/>
    <w:rsid w:val="00C42895"/>
    <w:rsid w:val="00C439EE"/>
    <w:rsid w:val="00C44795"/>
    <w:rsid w:val="00C53658"/>
    <w:rsid w:val="00C53A98"/>
    <w:rsid w:val="00C54BD3"/>
    <w:rsid w:val="00C60CD3"/>
    <w:rsid w:val="00C67EF2"/>
    <w:rsid w:val="00C74E4C"/>
    <w:rsid w:val="00C86028"/>
    <w:rsid w:val="00C93DCD"/>
    <w:rsid w:val="00C943EE"/>
    <w:rsid w:val="00C96022"/>
    <w:rsid w:val="00C960BC"/>
    <w:rsid w:val="00CA06E9"/>
    <w:rsid w:val="00CA1CF3"/>
    <w:rsid w:val="00CA6094"/>
    <w:rsid w:val="00CA7578"/>
    <w:rsid w:val="00CB0A50"/>
    <w:rsid w:val="00CB2A34"/>
    <w:rsid w:val="00CB34F1"/>
    <w:rsid w:val="00CB5952"/>
    <w:rsid w:val="00CB6F18"/>
    <w:rsid w:val="00CB7DF6"/>
    <w:rsid w:val="00CC0A6D"/>
    <w:rsid w:val="00CC0FDE"/>
    <w:rsid w:val="00CC1CCA"/>
    <w:rsid w:val="00CC49C9"/>
    <w:rsid w:val="00CC54DA"/>
    <w:rsid w:val="00CC60DE"/>
    <w:rsid w:val="00CC670F"/>
    <w:rsid w:val="00CC6855"/>
    <w:rsid w:val="00CD079D"/>
    <w:rsid w:val="00CD18F9"/>
    <w:rsid w:val="00CD4D48"/>
    <w:rsid w:val="00CE0DDD"/>
    <w:rsid w:val="00CE10E3"/>
    <w:rsid w:val="00CE32D6"/>
    <w:rsid w:val="00CE33F9"/>
    <w:rsid w:val="00CE435C"/>
    <w:rsid w:val="00CE472E"/>
    <w:rsid w:val="00CE5452"/>
    <w:rsid w:val="00CE5B9C"/>
    <w:rsid w:val="00CF154D"/>
    <w:rsid w:val="00CF16A8"/>
    <w:rsid w:val="00CF2FCB"/>
    <w:rsid w:val="00CF7763"/>
    <w:rsid w:val="00D0192D"/>
    <w:rsid w:val="00D03790"/>
    <w:rsid w:val="00D04F1E"/>
    <w:rsid w:val="00D05DF1"/>
    <w:rsid w:val="00D07441"/>
    <w:rsid w:val="00D10BB6"/>
    <w:rsid w:val="00D10F30"/>
    <w:rsid w:val="00D11E44"/>
    <w:rsid w:val="00D12617"/>
    <w:rsid w:val="00D14830"/>
    <w:rsid w:val="00D14ACB"/>
    <w:rsid w:val="00D17879"/>
    <w:rsid w:val="00D21167"/>
    <w:rsid w:val="00D23A42"/>
    <w:rsid w:val="00D25261"/>
    <w:rsid w:val="00D276E3"/>
    <w:rsid w:val="00D276EE"/>
    <w:rsid w:val="00D305EE"/>
    <w:rsid w:val="00D31472"/>
    <w:rsid w:val="00D320EA"/>
    <w:rsid w:val="00D32561"/>
    <w:rsid w:val="00D34F9E"/>
    <w:rsid w:val="00D358B4"/>
    <w:rsid w:val="00D370C9"/>
    <w:rsid w:val="00D37A66"/>
    <w:rsid w:val="00D40BFE"/>
    <w:rsid w:val="00D40CC7"/>
    <w:rsid w:val="00D41B0A"/>
    <w:rsid w:val="00D42EA4"/>
    <w:rsid w:val="00D454D8"/>
    <w:rsid w:val="00D45911"/>
    <w:rsid w:val="00D4725B"/>
    <w:rsid w:val="00D505ED"/>
    <w:rsid w:val="00D50BEB"/>
    <w:rsid w:val="00D5364C"/>
    <w:rsid w:val="00D56368"/>
    <w:rsid w:val="00D57230"/>
    <w:rsid w:val="00D63846"/>
    <w:rsid w:val="00D63989"/>
    <w:rsid w:val="00D657F8"/>
    <w:rsid w:val="00D6763C"/>
    <w:rsid w:val="00D67A24"/>
    <w:rsid w:val="00D70C4C"/>
    <w:rsid w:val="00D728A3"/>
    <w:rsid w:val="00D72B05"/>
    <w:rsid w:val="00D754B7"/>
    <w:rsid w:val="00D772DD"/>
    <w:rsid w:val="00D77964"/>
    <w:rsid w:val="00D77F79"/>
    <w:rsid w:val="00D8113A"/>
    <w:rsid w:val="00D82CDF"/>
    <w:rsid w:val="00D847DC"/>
    <w:rsid w:val="00D90695"/>
    <w:rsid w:val="00D915AF"/>
    <w:rsid w:val="00D92648"/>
    <w:rsid w:val="00D926D3"/>
    <w:rsid w:val="00D94E94"/>
    <w:rsid w:val="00D95D43"/>
    <w:rsid w:val="00D96380"/>
    <w:rsid w:val="00D974CE"/>
    <w:rsid w:val="00DA256F"/>
    <w:rsid w:val="00DA2AF7"/>
    <w:rsid w:val="00DA2B79"/>
    <w:rsid w:val="00DA3E52"/>
    <w:rsid w:val="00DA4CA6"/>
    <w:rsid w:val="00DA5064"/>
    <w:rsid w:val="00DA5E80"/>
    <w:rsid w:val="00DB3DE5"/>
    <w:rsid w:val="00DB41AD"/>
    <w:rsid w:val="00DB63D6"/>
    <w:rsid w:val="00DB652D"/>
    <w:rsid w:val="00DB692F"/>
    <w:rsid w:val="00DB7582"/>
    <w:rsid w:val="00DC3FB7"/>
    <w:rsid w:val="00DC4A53"/>
    <w:rsid w:val="00DC4D48"/>
    <w:rsid w:val="00DC4FE0"/>
    <w:rsid w:val="00DC73B1"/>
    <w:rsid w:val="00DD00AD"/>
    <w:rsid w:val="00DD0CE5"/>
    <w:rsid w:val="00DD259F"/>
    <w:rsid w:val="00DD3F44"/>
    <w:rsid w:val="00DD4397"/>
    <w:rsid w:val="00DD468E"/>
    <w:rsid w:val="00DD56CA"/>
    <w:rsid w:val="00DD5BAE"/>
    <w:rsid w:val="00DD6EFF"/>
    <w:rsid w:val="00DE20F2"/>
    <w:rsid w:val="00DE2A9E"/>
    <w:rsid w:val="00DE5548"/>
    <w:rsid w:val="00DE6773"/>
    <w:rsid w:val="00DF01D6"/>
    <w:rsid w:val="00DF0A21"/>
    <w:rsid w:val="00DF1E0C"/>
    <w:rsid w:val="00DF29F5"/>
    <w:rsid w:val="00DF4213"/>
    <w:rsid w:val="00DF4C16"/>
    <w:rsid w:val="00DF64FD"/>
    <w:rsid w:val="00E00BA2"/>
    <w:rsid w:val="00E014AD"/>
    <w:rsid w:val="00E01A32"/>
    <w:rsid w:val="00E01D8F"/>
    <w:rsid w:val="00E0577C"/>
    <w:rsid w:val="00E10975"/>
    <w:rsid w:val="00E1378B"/>
    <w:rsid w:val="00E15A4C"/>
    <w:rsid w:val="00E161F8"/>
    <w:rsid w:val="00E165C2"/>
    <w:rsid w:val="00E20E2D"/>
    <w:rsid w:val="00E21C52"/>
    <w:rsid w:val="00E22A72"/>
    <w:rsid w:val="00E235A8"/>
    <w:rsid w:val="00E2391A"/>
    <w:rsid w:val="00E23BE0"/>
    <w:rsid w:val="00E2429B"/>
    <w:rsid w:val="00E24706"/>
    <w:rsid w:val="00E25969"/>
    <w:rsid w:val="00E2673C"/>
    <w:rsid w:val="00E26799"/>
    <w:rsid w:val="00E27A8F"/>
    <w:rsid w:val="00E308ED"/>
    <w:rsid w:val="00E34AD2"/>
    <w:rsid w:val="00E3681E"/>
    <w:rsid w:val="00E40A62"/>
    <w:rsid w:val="00E41D1D"/>
    <w:rsid w:val="00E44E3D"/>
    <w:rsid w:val="00E50D4F"/>
    <w:rsid w:val="00E52572"/>
    <w:rsid w:val="00E526B4"/>
    <w:rsid w:val="00E52F3C"/>
    <w:rsid w:val="00E5377C"/>
    <w:rsid w:val="00E53AB5"/>
    <w:rsid w:val="00E53B4C"/>
    <w:rsid w:val="00E571BD"/>
    <w:rsid w:val="00E57F4F"/>
    <w:rsid w:val="00E6414B"/>
    <w:rsid w:val="00E71F9A"/>
    <w:rsid w:val="00E72C1E"/>
    <w:rsid w:val="00E73DE1"/>
    <w:rsid w:val="00E7431E"/>
    <w:rsid w:val="00E83A41"/>
    <w:rsid w:val="00E849DC"/>
    <w:rsid w:val="00E8585F"/>
    <w:rsid w:val="00E87189"/>
    <w:rsid w:val="00E91E84"/>
    <w:rsid w:val="00E964B1"/>
    <w:rsid w:val="00E96CB7"/>
    <w:rsid w:val="00E970CB"/>
    <w:rsid w:val="00E97BA5"/>
    <w:rsid w:val="00EA43F1"/>
    <w:rsid w:val="00EA6977"/>
    <w:rsid w:val="00EB0B49"/>
    <w:rsid w:val="00EB2DB9"/>
    <w:rsid w:val="00EB30A8"/>
    <w:rsid w:val="00EB48D1"/>
    <w:rsid w:val="00EB79A1"/>
    <w:rsid w:val="00EC1AEB"/>
    <w:rsid w:val="00EC2D10"/>
    <w:rsid w:val="00EC40C8"/>
    <w:rsid w:val="00EC50BD"/>
    <w:rsid w:val="00EC56BD"/>
    <w:rsid w:val="00ED0130"/>
    <w:rsid w:val="00ED06A1"/>
    <w:rsid w:val="00ED268B"/>
    <w:rsid w:val="00ED5AFF"/>
    <w:rsid w:val="00ED762E"/>
    <w:rsid w:val="00EE0794"/>
    <w:rsid w:val="00EE1B18"/>
    <w:rsid w:val="00EE2F61"/>
    <w:rsid w:val="00EE405B"/>
    <w:rsid w:val="00EE566E"/>
    <w:rsid w:val="00EE5AD6"/>
    <w:rsid w:val="00EE5C3A"/>
    <w:rsid w:val="00EE70B4"/>
    <w:rsid w:val="00EF6F05"/>
    <w:rsid w:val="00EF7AD2"/>
    <w:rsid w:val="00F003F4"/>
    <w:rsid w:val="00F01D9B"/>
    <w:rsid w:val="00F0490E"/>
    <w:rsid w:val="00F067EA"/>
    <w:rsid w:val="00F10338"/>
    <w:rsid w:val="00F1116D"/>
    <w:rsid w:val="00F11524"/>
    <w:rsid w:val="00F11CC4"/>
    <w:rsid w:val="00F12AC1"/>
    <w:rsid w:val="00F12B2B"/>
    <w:rsid w:val="00F13FC9"/>
    <w:rsid w:val="00F14A00"/>
    <w:rsid w:val="00F15812"/>
    <w:rsid w:val="00F17CF9"/>
    <w:rsid w:val="00F21664"/>
    <w:rsid w:val="00F21670"/>
    <w:rsid w:val="00F22E56"/>
    <w:rsid w:val="00F23A0C"/>
    <w:rsid w:val="00F24F8A"/>
    <w:rsid w:val="00F26081"/>
    <w:rsid w:val="00F26963"/>
    <w:rsid w:val="00F26DDB"/>
    <w:rsid w:val="00F26E6A"/>
    <w:rsid w:val="00F31238"/>
    <w:rsid w:val="00F31E45"/>
    <w:rsid w:val="00F34085"/>
    <w:rsid w:val="00F3528D"/>
    <w:rsid w:val="00F37532"/>
    <w:rsid w:val="00F3777B"/>
    <w:rsid w:val="00F37D9C"/>
    <w:rsid w:val="00F417B7"/>
    <w:rsid w:val="00F42D9B"/>
    <w:rsid w:val="00F4415A"/>
    <w:rsid w:val="00F50271"/>
    <w:rsid w:val="00F53E60"/>
    <w:rsid w:val="00F54276"/>
    <w:rsid w:val="00F54CAE"/>
    <w:rsid w:val="00F56F99"/>
    <w:rsid w:val="00F60A17"/>
    <w:rsid w:val="00F612E7"/>
    <w:rsid w:val="00F61E41"/>
    <w:rsid w:val="00F61E89"/>
    <w:rsid w:val="00F62C55"/>
    <w:rsid w:val="00F62CFB"/>
    <w:rsid w:val="00F63E69"/>
    <w:rsid w:val="00F6561C"/>
    <w:rsid w:val="00F6643C"/>
    <w:rsid w:val="00F7139C"/>
    <w:rsid w:val="00F71F8D"/>
    <w:rsid w:val="00F73331"/>
    <w:rsid w:val="00F74DA8"/>
    <w:rsid w:val="00F76B4F"/>
    <w:rsid w:val="00F76F34"/>
    <w:rsid w:val="00F77206"/>
    <w:rsid w:val="00F8047C"/>
    <w:rsid w:val="00F826BE"/>
    <w:rsid w:val="00F8390C"/>
    <w:rsid w:val="00F8509A"/>
    <w:rsid w:val="00F857A2"/>
    <w:rsid w:val="00F8727D"/>
    <w:rsid w:val="00F90658"/>
    <w:rsid w:val="00F9193B"/>
    <w:rsid w:val="00F92366"/>
    <w:rsid w:val="00F928DA"/>
    <w:rsid w:val="00F94D88"/>
    <w:rsid w:val="00F9694B"/>
    <w:rsid w:val="00F97381"/>
    <w:rsid w:val="00FA19CF"/>
    <w:rsid w:val="00FA43CC"/>
    <w:rsid w:val="00FA524D"/>
    <w:rsid w:val="00FA6F69"/>
    <w:rsid w:val="00FB1E62"/>
    <w:rsid w:val="00FB68C1"/>
    <w:rsid w:val="00FC0E5C"/>
    <w:rsid w:val="00FC2CE0"/>
    <w:rsid w:val="00FC2EC5"/>
    <w:rsid w:val="00FC5635"/>
    <w:rsid w:val="00FD0ED4"/>
    <w:rsid w:val="00FD162D"/>
    <w:rsid w:val="00FD2F35"/>
    <w:rsid w:val="00FD4667"/>
    <w:rsid w:val="00FD4C51"/>
    <w:rsid w:val="00FD6625"/>
    <w:rsid w:val="00FD6CDC"/>
    <w:rsid w:val="00FE0A01"/>
    <w:rsid w:val="00FE120B"/>
    <w:rsid w:val="00FE51FB"/>
    <w:rsid w:val="00FE6455"/>
    <w:rsid w:val="00FE6B45"/>
    <w:rsid w:val="00FF392C"/>
    <w:rsid w:val="00FF3A5F"/>
    <w:rsid w:val="00FF4437"/>
    <w:rsid w:val="EE5F44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3"/>
    <w:basedOn w:val="1"/>
    <w:uiPriority w:val="0"/>
    <w:pPr>
      <w:widowControl/>
      <w:spacing w:before="100" w:beforeAutospacing="1" w:after="100" w:afterAutospacing="1"/>
      <w:jc w:val="left"/>
      <w:outlineLvl w:val="2"/>
    </w:pPr>
    <w:rPr>
      <w:rFonts w:ascii="宋体" w:hAnsi="宋体"/>
      <w:b/>
      <w:bCs/>
      <w:kern w:val="0"/>
      <w:sz w:val="27"/>
      <w:szCs w:val="27"/>
    </w:rPr>
  </w:style>
  <w:style w:type="character" w:default="1" w:styleId="20">
    <w:name w:val="Default Paragraph Font"/>
    <w:link w:val="21"/>
    <w:semiHidden/>
    <w:uiPriority w:val="0"/>
  </w:style>
  <w:style w:type="table" w:default="1" w:styleId="17">
    <w:name w:val="Normal Table"/>
    <w:semiHidden/>
    <w:uiPriority w:val="0"/>
    <w:tblPr>
      <w:tblStyle w:val="17"/>
      <w:tblCellMar>
        <w:top w:w="0" w:type="dxa"/>
        <w:left w:w="108" w:type="dxa"/>
        <w:bottom w:w="0" w:type="dxa"/>
        <w:right w:w="108" w:type="dxa"/>
      </w:tblCellMar>
    </w:tblPr>
    <w:trPr>
      <w:wBefore w:w="0" w:type="dxa"/>
    </w:trPr>
  </w:style>
  <w:style w:type="paragraph" w:styleId="3">
    <w:name w:val="Document Map"/>
    <w:basedOn w:val="1"/>
    <w:semiHidden/>
    <w:uiPriority w:val="0"/>
    <w:pPr>
      <w:shd w:val="clear" w:color="auto" w:fill="000080"/>
    </w:pPr>
  </w:style>
  <w:style w:type="paragraph" w:styleId="4">
    <w:name w:val="Body Text 3"/>
    <w:basedOn w:val="1"/>
    <w:uiPriority w:val="0"/>
    <w:pPr>
      <w:spacing w:line="480" w:lineRule="exact"/>
    </w:pPr>
    <w:rPr>
      <w:rFonts w:eastAsia="仿宋_GB2312"/>
      <w:sz w:val="32"/>
      <w:szCs w:val="30"/>
    </w:rPr>
  </w:style>
  <w:style w:type="paragraph" w:styleId="5">
    <w:name w:val="Body Text"/>
    <w:basedOn w:val="1"/>
    <w:uiPriority w:val="0"/>
    <w:rPr>
      <w:rFonts w:eastAsia="华文中宋"/>
      <w:w w:val="52"/>
      <w:sz w:val="144"/>
    </w:rPr>
  </w:style>
  <w:style w:type="paragraph" w:styleId="6">
    <w:name w:val="Body Text Indent"/>
    <w:basedOn w:val="1"/>
    <w:uiPriority w:val="0"/>
    <w:pPr>
      <w:spacing w:line="600" w:lineRule="exact"/>
      <w:ind w:firstLine="640" w:firstLineChars="200"/>
    </w:pPr>
    <w:rPr>
      <w:rFonts w:eastAsia="仿宋_GB2312"/>
      <w:sz w:val="32"/>
      <w:szCs w:val="32"/>
    </w:rPr>
  </w:style>
  <w:style w:type="paragraph" w:styleId="7">
    <w:name w:val="Block Text"/>
    <w:basedOn w:val="1"/>
    <w:uiPriority w:val="0"/>
    <w:pPr>
      <w:spacing w:line="600" w:lineRule="exact"/>
      <w:ind w:left="-180" w:leftChars="-86" w:right="-153" w:rightChars="-73" w:hanging="1"/>
    </w:pPr>
    <w:rPr>
      <w:rFonts w:eastAsia="仿宋_GB2312"/>
      <w:sz w:val="32"/>
      <w:szCs w:val="32"/>
    </w:rPr>
  </w:style>
  <w:style w:type="paragraph" w:styleId="8">
    <w:name w:val="Plain Text"/>
    <w:basedOn w:val="1"/>
    <w:uiPriority w:val="0"/>
    <w:rPr>
      <w:rFonts w:ascii="宋体" w:hAnsi="Courier New" w:cs="Courier New"/>
      <w:szCs w:val="21"/>
    </w:rPr>
  </w:style>
  <w:style w:type="paragraph" w:styleId="9">
    <w:name w:val="Date"/>
    <w:basedOn w:val="1"/>
    <w:next w:val="1"/>
    <w:uiPriority w:val="0"/>
    <w:pPr>
      <w:ind w:left="100" w:leftChars="2500"/>
    </w:pPr>
    <w:rPr>
      <w:rFonts w:ascii="仿宋_GB2312" w:eastAsia="仿宋_GB2312"/>
      <w:sz w:val="32"/>
      <w:szCs w:val="32"/>
      <w:lang w:val="zh-CN"/>
    </w:rPr>
  </w:style>
  <w:style w:type="paragraph" w:styleId="10">
    <w:name w:val="Body Text Indent 2"/>
    <w:basedOn w:val="1"/>
    <w:uiPriority w:val="0"/>
    <w:pPr>
      <w:ind w:firstLine="435"/>
    </w:pPr>
    <w:rPr>
      <w:rFonts w:ascii="仿宋_GB2312" w:eastAsia="仿宋_GB2312"/>
      <w:sz w:val="32"/>
    </w:rPr>
  </w:style>
  <w:style w:type="paragraph" w:styleId="11">
    <w:name w:val="Balloon Text"/>
    <w:basedOn w:val="1"/>
    <w:semiHidden/>
    <w:uiPriority w:val="0"/>
    <w:rPr>
      <w:sz w:val="18"/>
      <w:szCs w:val="18"/>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5">
    <w:name w:val="Body Text 2"/>
    <w:basedOn w:val="1"/>
    <w:uiPriority w:val="0"/>
    <w:pPr>
      <w:jc w:val="center"/>
    </w:pPr>
    <w:rPr>
      <w:rFonts w:ascii="宋体" w:hAnsi="宋体"/>
      <w:sz w:val="70"/>
    </w:r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Grid 5"/>
    <w:basedOn w:val="17"/>
    <w:uiPriority w:val="0"/>
    <w:pPr>
      <w:widowControl w:val="0"/>
      <w:jc w:val="both"/>
    </w:pPr>
    <w:tblPr>
      <w:tblStyle w:val="1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blStyle w:val="17"/>
      </w:tblPr>
      <w:tcPr>
        <w:tcBorders>
          <w:left w:val="single" w:color="000000" w:sz="12" w:space="0"/>
          <w:tl2br w:val="nil"/>
          <w:tr2bl w:val="nil"/>
        </w:tcBorders>
      </w:tcPr>
    </w:tblStylePr>
    <w:tblStylePr w:type="lastRow">
      <w:rPr>
        <w:b/>
        <w:bCs/>
      </w:rPr>
      <w:tblPr>
        <w:tblStyle w:val="17"/>
      </w:tblPr>
      <w:tcPr>
        <w:tcBorders>
          <w:tl2br w:val="nil"/>
          <w:tr2bl w:val="nil"/>
        </w:tcBorders>
      </w:tcPr>
    </w:tblStylePr>
    <w:tblStylePr w:type="lastCol">
      <w:rPr>
        <w:b/>
        <w:bCs/>
      </w:rPr>
      <w:tblPr>
        <w:tblStyle w:val="17"/>
      </w:tblPr>
      <w:tcPr>
        <w:tcBorders>
          <w:tl2br w:val="nil"/>
          <w:tr2bl w:val="nil"/>
        </w:tcBorders>
      </w:tcPr>
    </w:tblStylePr>
    <w:tblStylePr w:type="nwCell">
      <w:tblPr>
        <w:tblStyle w:val="17"/>
      </w:tblPr>
      <w:tcPr>
        <w:tcBorders>
          <w:tl2br w:val="single" w:color="000000" w:sz="6" w:space="0"/>
          <w:tr2bl w:val="nil"/>
        </w:tcBorders>
      </w:tcPr>
    </w:tblStylePr>
  </w:style>
  <w:style w:type="paragraph" w:customStyle="1" w:styleId="21">
    <w:name w:val="Char Char Char"/>
    <w:basedOn w:val="1"/>
    <w:link w:val="20"/>
    <w:semiHidden/>
    <w:uiPriority w:val="0"/>
    <w:pPr>
      <w:widowControl/>
      <w:spacing w:after="160" w:line="240" w:lineRule="exact"/>
      <w:jc w:val="left"/>
    </w:pPr>
    <w:rPr>
      <w:rFonts w:ascii="Verdana" w:hAnsi="Verdana"/>
      <w:kern w:val="0"/>
      <w:sz w:val="20"/>
      <w:szCs w:val="20"/>
      <w:lang w:eastAsia="en-US"/>
    </w:rPr>
  </w:style>
  <w:style w:type="character" w:styleId="22">
    <w:name w:val="Strong"/>
    <w:basedOn w:val="20"/>
    <w:uiPriority w:val="0"/>
    <w:rPr>
      <w:b/>
      <w:bCs/>
    </w:rPr>
  </w:style>
  <w:style w:type="character" w:styleId="23">
    <w:name w:val="page number"/>
    <w:basedOn w:val="20"/>
    <w:uiPriority w:val="0"/>
  </w:style>
  <w:style w:type="character" w:styleId="24">
    <w:name w:val="annotation reference"/>
    <w:basedOn w:val="20"/>
    <w:semiHidden/>
    <w:uiPriority w:val="0"/>
    <w:rPr>
      <w:sz w:val="21"/>
      <w:szCs w:val="21"/>
    </w:rPr>
  </w:style>
  <w:style w:type="paragraph" w:customStyle="1" w:styleId="25">
    <w:name w:val=" Char Char Char Char Char Char"/>
    <w:basedOn w:val="1"/>
    <w:link w:val="20"/>
    <w:uiPriority w:val="0"/>
    <w:pPr>
      <w:widowControl/>
      <w:spacing w:after="160" w:line="240" w:lineRule="exact"/>
      <w:jc w:val="left"/>
    </w:pPr>
    <w:rPr>
      <w:rFonts w:ascii="Arial" w:hAnsi="Arial" w:cs="Arial"/>
      <w:b/>
      <w:bCs/>
      <w:kern w:val="0"/>
      <w:sz w:val="24"/>
      <w:lang w:eastAsia="en-US"/>
    </w:rPr>
  </w:style>
  <w:style w:type="paragraph" w:customStyle="1" w:styleId="26">
    <w:name w:val="默认段落字体 Para Char Char Char Char Char Char Char Char Char Char Char Char Char Char Char1 Char Char Char Char"/>
    <w:basedOn w:val="3"/>
    <w:uiPriority w:val="0"/>
    <w:pPr>
      <w:adjustRightInd w:val="0"/>
      <w:spacing w:line="436" w:lineRule="exact"/>
      <w:ind w:left="357"/>
      <w:jc w:val="left"/>
      <w:outlineLvl w:val="3"/>
    </w:pPr>
    <w:rPr>
      <w:rFonts w:ascii="Tahoma" w:hAnsi="Tahoma"/>
      <w:b/>
      <w:sz w:val="24"/>
    </w:rPr>
  </w:style>
  <w:style w:type="paragraph" w:customStyle="1" w:styleId="27">
    <w:name w:val="WPS Plain"/>
    <w:uiPriority w:val="0"/>
    <w:rPr>
      <w:lang w:bidi="ar-SA"/>
    </w:rPr>
  </w:style>
  <w:style w:type="paragraph" w:customStyle="1" w:styleId="28">
    <w:name w:val="p0"/>
    <w:basedOn w:val="1"/>
    <w:uiPriority w:val="0"/>
    <w:pPr>
      <w:widowControl/>
    </w:pPr>
    <w:rPr>
      <w:kern w:val="0"/>
      <w:szCs w:val="21"/>
    </w:rPr>
  </w:style>
  <w:style w:type="paragraph" w:customStyle="1" w:styleId="29">
    <w:name w:val="样式"/>
    <w:uiPriority w:val="0"/>
    <w:pPr>
      <w:widowControl w:val="0"/>
      <w:autoSpaceDE w:val="0"/>
      <w:autoSpaceDN w:val="0"/>
      <w:adjustRightInd w:val="0"/>
    </w:pPr>
    <w:rPr>
      <w:rFonts w:ascii="SimSun" w:hAnsi="SimSun" w:cs="SimSun"/>
      <w:sz w:val="24"/>
      <w:szCs w:val="24"/>
      <w:lang w:val="en-US" w:eastAsia="zh-CN" w:bidi="ar-SA"/>
    </w:rPr>
  </w:style>
  <w:style w:type="paragraph" w:customStyle="1" w:styleId="30">
    <w:name w:val="Char1 Char Char Char"/>
    <w:basedOn w:val="1"/>
    <w:uiPriority w:val="0"/>
    <w:rPr>
      <w:sz w:val="32"/>
      <w:szCs w:val="32"/>
    </w:rPr>
  </w:style>
  <w:style w:type="paragraph" w:customStyle="1" w:styleId="31">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32">
    <w:name w:val="Char Char Char Char Char Char"/>
    <w:basedOn w:val="1"/>
    <w:uiPriority w:val="0"/>
    <w:pPr>
      <w:widowControl/>
      <w:spacing w:after="160" w:line="240" w:lineRule="exact"/>
      <w:jc w:val="left"/>
    </w:pPr>
    <w:rPr>
      <w:rFonts w:ascii="仿宋_GB2312" w:eastAsia="仿宋_GB2312"/>
      <w:sz w:val="32"/>
      <w:szCs w:val="32"/>
    </w:rPr>
  </w:style>
  <w:style w:type="paragraph" w:customStyle="1" w:styleId="33">
    <w:name w:val="Char Char Char Char Char Char Char Char Char Char Char Char Char"/>
    <w:basedOn w:val="1"/>
    <w:uiPriority w:val="0"/>
    <w:pPr>
      <w:snapToGrid w:val="0"/>
      <w:spacing w:line="360" w:lineRule="auto"/>
      <w:ind w:firstLine="200" w:firstLineChars="200"/>
    </w:pPr>
  </w:style>
  <w:style w:type="paragraph" w:customStyle="1" w:styleId="34">
    <w:name w:val="1"/>
    <w:basedOn w:val="1"/>
    <w:uiPriority w:val="0"/>
    <w:pPr>
      <w:widowControl/>
      <w:adjustRightInd w:val="0"/>
      <w:spacing w:after="160" w:line="240" w:lineRule="exact"/>
      <w:jc w:val="left"/>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1114</Words>
  <Characters>6351</Characters>
  <Lines>52</Lines>
  <Paragraphs>14</Paragraphs>
  <TotalTime>0</TotalTime>
  <ScaleCrop>false</ScaleCrop>
  <LinksUpToDate>false</LinksUpToDate>
  <CharactersWithSpaces>7451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2016-01-13T10:10:00Z</dcterms:created>
  <dc:creator>user_common</dc:creator>
  <cp:lastModifiedBy>独身仙子</cp:lastModifiedBy>
  <cp:lastPrinted>2016-01-13T10:25:00Z</cp:lastPrinted>
  <dcterms:modified xsi:type="dcterms:W3CDTF">2023-10-31T14:33:37Z</dcterms:modified>
  <dc:title>淄博市周村区人民政府文件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