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default" w:ascii="Times New Roman" w:hAnsi="Times New Roman" w:eastAsia="华文中宋" w:cs="Times New Roman"/>
          <w:w w:val="52"/>
          <w:sz w:val="80"/>
        </w:rPr>
      </w:pPr>
    </w:p>
    <w:p>
      <w:pPr>
        <w:rPr>
          <w:rFonts w:hint="default" w:ascii="Times New Roman" w:hAnsi="Times New Roman" w:eastAsia="华文中宋" w:cs="Times New Roman"/>
          <w:sz w:val="32"/>
        </w:rPr>
      </w:pPr>
    </w:p>
    <w:p>
      <w:pPr>
        <w:pStyle w:val="33"/>
        <w:spacing w:line="600" w:lineRule="exact"/>
        <w:ind w:firstLine="608" w:firstLineChars="200"/>
        <w:jc w:val="both"/>
        <w:rPr>
          <w:rFonts w:hint="default" w:ascii="Times New Roman" w:hAnsi="Times New Roman" w:eastAsia="仿宋_GB2312" w:cs="Times New Roman"/>
          <w:spacing w:val="-8"/>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周村区人民政府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关于推动供销合作社高质量发展的实施意见</w:t>
      </w:r>
    </w:p>
    <w:bookmarkEnd w:id="0"/>
    <w:p>
      <w:pPr>
        <w:spacing w:line="60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周政字〔2024〕</w:t>
      </w:r>
      <w:r>
        <w:rPr>
          <w:rFonts w:hint="eastAsia" w:ascii="Times New Roman" w:hAnsi="Times New Roman" w:eastAsia="仿宋_GB2312" w:cs="Times New Roman"/>
          <w:sz w:val="32"/>
          <w:lang w:val="en-US" w:eastAsia="zh-CN"/>
        </w:rPr>
        <w:t>33</w:t>
      </w:r>
      <w:r>
        <w:rPr>
          <w:rFonts w:hint="default" w:ascii="Times New Roman" w:hAnsi="Times New Roman" w:eastAsia="仿宋_GB2312" w:cs="Times New Roman"/>
          <w:sz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880" w:firstLineChars="200"/>
        <w:jc w:val="both"/>
        <w:textAlignment w:val="auto"/>
        <w:outlineLvl w:val="9"/>
        <w:rPr>
          <w:rFonts w:hint="default" w:ascii="Times New Roman" w:hAnsi="Times New Roman" w:eastAsia="方正小标宋简体" w:cs="Times New Roman"/>
          <w:sz w:val="44"/>
          <w:szCs w:val="44"/>
        </w:rPr>
      </w:pP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街道办事处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周村</w:t>
      </w:r>
      <w:r>
        <w:rPr>
          <w:rFonts w:hint="default" w:ascii="Times New Roman" w:hAnsi="Times New Roman" w:eastAsia="仿宋_GB2312" w:cs="Times New Roman"/>
          <w:sz w:val="32"/>
          <w:szCs w:val="32"/>
        </w:rPr>
        <w:t>经济开发区</w:t>
      </w:r>
      <w:r>
        <w:rPr>
          <w:rFonts w:hint="default" w:ascii="Times New Roman" w:hAnsi="Times New Roman" w:eastAsia="仿宋_GB2312" w:cs="Times New Roman"/>
          <w:sz w:val="32"/>
          <w:szCs w:val="32"/>
          <w:lang w:val="en-US" w:eastAsia="zh-CN"/>
        </w:rPr>
        <w:t>管委会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部门</w:t>
      </w:r>
      <w:r>
        <w:rPr>
          <w:rFonts w:hint="eastAsia"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单位：</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为推动供销合作社高质量发展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发挥供销合作社在加快农业农村现代化</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的重要作用，根据《山东省人民政府关于推动供销合作社高质量发展的实施意见》（鲁政字〔2023〕217号）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淄博市</w:t>
      </w:r>
      <w:r>
        <w:rPr>
          <w:rFonts w:hint="default" w:ascii="Times New Roman" w:hAnsi="Times New Roman" w:eastAsia="仿宋_GB2312" w:cs="Times New Roman"/>
          <w:sz w:val="32"/>
          <w:szCs w:val="32"/>
        </w:rPr>
        <w:t>人民政府关于推动供销合作社高质量发展的实施意见》（</w:t>
      </w:r>
      <w:r>
        <w:rPr>
          <w:rFonts w:hint="default" w:ascii="Times New Roman" w:hAnsi="Times New Roman" w:eastAsia="仿宋_GB2312" w:cs="Times New Roman"/>
          <w:sz w:val="32"/>
          <w:szCs w:val="32"/>
          <w:lang w:val="en-US" w:eastAsia="zh-CN"/>
        </w:rPr>
        <w:t>淄</w:t>
      </w:r>
      <w:r>
        <w:rPr>
          <w:rFonts w:hint="default" w:ascii="Times New Roman" w:hAnsi="Times New Roman" w:eastAsia="仿宋_GB2312" w:cs="Times New Roman"/>
          <w:sz w:val="32"/>
          <w:szCs w:val="32"/>
        </w:rPr>
        <w:t>政字〔202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实际，提出如下实施意见。</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全面贯彻党的二十大和二十届二中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三中</w:t>
      </w:r>
      <w:r>
        <w:rPr>
          <w:rFonts w:hint="default" w:ascii="Times New Roman" w:hAnsi="Times New Roman" w:eastAsia="仿宋_GB2312" w:cs="Times New Roman"/>
          <w:sz w:val="32"/>
          <w:szCs w:val="32"/>
        </w:rPr>
        <w:t>全会精神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认真落实习近平总书记关于供销合作社工作的重要指示批示精神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持续深化供销合作社综合改革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着力保障粮食和重要农产品稳定安全供给，加快成为服务农民生产生活的综合平台，成为党和政府密切联系农民群众的桥梁纽带。力争用三年左右时间，全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供销合作社系统发展质量显著提升，农资仓储能力达到</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万吨，农业社会化服务覆盖全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20%以上的耕地，经营服务网点基本实现涉农镇和中心村全覆盖。</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二、主要任务</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val="en-US" w:eastAsia="zh-CN"/>
        </w:rPr>
        <w:t>聚</w:t>
      </w:r>
      <w:r>
        <w:rPr>
          <w:rFonts w:hint="default" w:ascii="Times New Roman" w:hAnsi="Times New Roman" w:eastAsia="楷体_GB2312" w:cs="Times New Roman"/>
          <w:sz w:val="32"/>
          <w:szCs w:val="32"/>
        </w:rPr>
        <w:t>力推动流通服务网络体系建设</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4" w:firstLineChars="200"/>
        <w:jc w:val="both"/>
        <w:textAlignment w:val="baseline"/>
        <w:rPr>
          <w:rFonts w:hint="default" w:ascii="Times New Roman" w:hAnsi="Times New Roman" w:eastAsia="仿宋_GB2312" w:cs="Times New Roman"/>
          <w:spacing w:val="1"/>
          <w:sz w:val="32"/>
          <w:szCs w:val="32"/>
        </w:rPr>
      </w:pPr>
      <w:r>
        <w:rPr>
          <w:rFonts w:hint="default" w:ascii="Times New Roman" w:hAnsi="Times New Roman" w:eastAsia="仿宋_GB2312" w:cs="Times New Roman"/>
          <w:spacing w:val="1"/>
          <w:sz w:val="32"/>
          <w:szCs w:val="32"/>
        </w:rPr>
        <w:t>1</w:t>
      </w:r>
      <w:r>
        <w:rPr>
          <w:rFonts w:hint="eastAsia"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lang w:val="en-US" w:eastAsia="zh-CN"/>
        </w:rPr>
        <w:t>加强</w:t>
      </w:r>
      <w:r>
        <w:rPr>
          <w:rFonts w:hint="default" w:ascii="Times New Roman" w:hAnsi="Times New Roman" w:eastAsia="仿宋_GB2312" w:cs="Times New Roman"/>
          <w:spacing w:val="1"/>
          <w:sz w:val="32"/>
          <w:szCs w:val="32"/>
        </w:rPr>
        <w:t>县域商贸流通网络</w:t>
      </w:r>
      <w:r>
        <w:rPr>
          <w:rFonts w:hint="default" w:ascii="Times New Roman" w:hAnsi="Times New Roman" w:eastAsia="仿宋_GB2312" w:cs="Times New Roman"/>
          <w:spacing w:val="1"/>
          <w:sz w:val="32"/>
          <w:szCs w:val="32"/>
          <w:lang w:val="en-US" w:eastAsia="zh-CN"/>
        </w:rPr>
        <w:t>建设</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支持供销合作社深度参与县域商业体系和流通强县建设，构建</w:t>
      </w:r>
      <w:r>
        <w:rPr>
          <w:rFonts w:hint="default" w:ascii="Times New Roman" w:hAnsi="Times New Roman" w:eastAsia="仿宋_GB2312" w:cs="Times New Roman"/>
          <w:spacing w:val="1"/>
          <w:sz w:val="32"/>
          <w:szCs w:val="32"/>
          <w:lang w:val="en-US" w:eastAsia="zh-CN"/>
        </w:rPr>
        <w:t>区</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镇、村三级商贸流通服务网络</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加快培育商贸龙头企业</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lang w:val="en-US" w:eastAsia="zh-CN"/>
        </w:rPr>
        <w:t>规范提升商超网点发展质量和服务水平。</w:t>
      </w:r>
      <w:r>
        <w:rPr>
          <w:rFonts w:hint="default" w:ascii="Times New Roman" w:hAnsi="Times New Roman" w:eastAsia="仿宋_GB2312" w:cs="Times New Roman"/>
          <w:spacing w:val="1"/>
          <w:sz w:val="32"/>
          <w:szCs w:val="32"/>
        </w:rPr>
        <w:t>推广“互联网+第四方物流”模式，加快推进农村客货邮融合发展。支持供销合作社搭建便民服务综合平台，</w:t>
      </w:r>
      <w:r>
        <w:rPr>
          <w:rFonts w:hint="default" w:ascii="Times New Roman" w:hAnsi="Times New Roman" w:eastAsia="仿宋_GB2312" w:cs="Times New Roman"/>
          <w:spacing w:val="1"/>
          <w:sz w:val="32"/>
          <w:szCs w:val="32"/>
          <w:lang w:val="en-US" w:eastAsia="zh-CN"/>
        </w:rPr>
        <w:t>鼓励</w:t>
      </w:r>
      <w:r>
        <w:rPr>
          <w:rFonts w:hint="default" w:ascii="Times New Roman" w:hAnsi="Times New Roman" w:eastAsia="仿宋_GB2312" w:cs="Times New Roman"/>
          <w:spacing w:val="1"/>
          <w:sz w:val="32"/>
          <w:szCs w:val="32"/>
        </w:rPr>
        <w:t>参与“一刻钟便民生活圈”建设试点、农村寄递物流体系建设等工作，引导各类便民服务项目向平台汇集</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落实相关领域优惠政策。（责任单位：</w:t>
      </w:r>
      <w:r>
        <w:rPr>
          <w:rFonts w:hint="default" w:ascii="Times New Roman" w:hAnsi="Times New Roman" w:eastAsia="仿宋_GB2312" w:cs="Times New Roman"/>
          <w:spacing w:val="1"/>
          <w:sz w:val="32"/>
          <w:szCs w:val="32"/>
          <w:lang w:eastAsia="zh-CN"/>
        </w:rPr>
        <w:t>区</w:t>
      </w:r>
      <w:r>
        <w:rPr>
          <w:rFonts w:hint="default" w:ascii="Times New Roman" w:hAnsi="Times New Roman" w:eastAsia="仿宋_GB2312" w:cs="Times New Roman"/>
          <w:spacing w:val="1"/>
          <w:sz w:val="32"/>
          <w:szCs w:val="32"/>
        </w:rPr>
        <w:t>商务局</w:t>
      </w:r>
      <w:r>
        <w:rPr>
          <w:rFonts w:hint="default" w:ascii="Times New Roman" w:hAnsi="Times New Roman" w:eastAsia="仿宋_GB2312" w:cs="Times New Roman"/>
          <w:spacing w:val="1"/>
          <w:sz w:val="32"/>
          <w:szCs w:val="32"/>
          <w:lang w:eastAsia="zh-CN"/>
        </w:rPr>
        <w:t>、区</w:t>
      </w:r>
      <w:r>
        <w:rPr>
          <w:rFonts w:hint="default" w:ascii="Times New Roman" w:hAnsi="Times New Roman" w:eastAsia="仿宋_GB2312" w:cs="Times New Roman"/>
          <w:spacing w:val="1"/>
          <w:sz w:val="32"/>
          <w:szCs w:val="32"/>
        </w:rPr>
        <w:t>自然资源局、</w:t>
      </w:r>
      <w:r>
        <w:rPr>
          <w:rFonts w:hint="default" w:ascii="Times New Roman" w:hAnsi="Times New Roman" w:eastAsia="仿宋_GB2312" w:cs="Times New Roman"/>
          <w:spacing w:val="1"/>
          <w:sz w:val="32"/>
          <w:szCs w:val="32"/>
          <w:lang w:val="en-US" w:eastAsia="zh-CN"/>
        </w:rPr>
        <w:t>周村</w:t>
      </w:r>
      <w:r>
        <w:rPr>
          <w:rFonts w:hint="default" w:ascii="Times New Roman" w:hAnsi="Times New Roman" w:eastAsia="仿宋_GB2312" w:cs="Times New Roman"/>
          <w:spacing w:val="1"/>
          <w:sz w:val="32"/>
          <w:szCs w:val="32"/>
        </w:rPr>
        <w:t>规划</w:t>
      </w:r>
      <w:r>
        <w:rPr>
          <w:rFonts w:hint="default" w:ascii="Times New Roman" w:hAnsi="Times New Roman" w:eastAsia="仿宋_GB2312" w:cs="Times New Roman"/>
          <w:spacing w:val="1"/>
          <w:sz w:val="32"/>
          <w:szCs w:val="32"/>
          <w:lang w:val="en-US" w:eastAsia="zh-CN"/>
        </w:rPr>
        <w:t>管理办公室、</w:t>
      </w:r>
      <w:r>
        <w:rPr>
          <w:rFonts w:hint="default" w:ascii="Times New Roman" w:hAnsi="Times New Roman" w:eastAsia="仿宋_GB2312" w:cs="Times New Roman"/>
          <w:spacing w:val="1"/>
          <w:sz w:val="32"/>
          <w:szCs w:val="32"/>
          <w:lang w:eastAsia="zh-CN"/>
        </w:rPr>
        <w:t>区</w:t>
      </w:r>
      <w:r>
        <w:rPr>
          <w:rFonts w:hint="default" w:ascii="Times New Roman" w:hAnsi="Times New Roman" w:eastAsia="仿宋_GB2312" w:cs="Times New Roman"/>
          <w:spacing w:val="1"/>
          <w:sz w:val="32"/>
          <w:szCs w:val="32"/>
        </w:rPr>
        <w:t>交通运输局、</w:t>
      </w:r>
      <w:r>
        <w:rPr>
          <w:rFonts w:hint="default" w:ascii="Times New Roman" w:hAnsi="Times New Roman" w:eastAsia="仿宋_GB2312" w:cs="Times New Roman"/>
          <w:spacing w:val="1"/>
          <w:sz w:val="32"/>
          <w:szCs w:val="32"/>
          <w:lang w:val="en-US" w:eastAsia="zh-CN"/>
        </w:rPr>
        <w:t>周村</w:t>
      </w:r>
      <w:r>
        <w:rPr>
          <w:rFonts w:hint="default" w:ascii="Times New Roman" w:hAnsi="Times New Roman" w:eastAsia="仿宋_GB2312" w:cs="Times New Roman"/>
          <w:spacing w:val="1"/>
          <w:sz w:val="32"/>
          <w:szCs w:val="32"/>
        </w:rPr>
        <w:t>邮政</w:t>
      </w:r>
      <w:r>
        <w:rPr>
          <w:rFonts w:hint="default" w:ascii="Times New Roman" w:hAnsi="Times New Roman" w:eastAsia="仿宋_GB2312" w:cs="Times New Roman"/>
          <w:spacing w:val="1"/>
          <w:sz w:val="32"/>
          <w:szCs w:val="32"/>
          <w:lang w:val="en-US" w:eastAsia="zh-CN"/>
        </w:rPr>
        <w:t>分公司</w:t>
      </w:r>
      <w:r>
        <w:rPr>
          <w:rFonts w:hint="default" w:ascii="Times New Roman" w:hAnsi="Times New Roman" w:eastAsia="仿宋_GB2312" w:cs="Times New Roman"/>
          <w:spacing w:val="1"/>
          <w:sz w:val="32"/>
          <w:szCs w:val="32"/>
        </w:rPr>
        <w:t>、</w:t>
      </w:r>
      <w:r>
        <w:rPr>
          <w:rFonts w:hint="default" w:ascii="Times New Roman" w:hAnsi="Times New Roman" w:eastAsia="仿宋_GB2312" w:cs="Times New Roman"/>
          <w:spacing w:val="1"/>
          <w:sz w:val="32"/>
          <w:szCs w:val="32"/>
          <w:lang w:eastAsia="zh-CN"/>
        </w:rPr>
        <w:t>区</w:t>
      </w:r>
      <w:r>
        <w:rPr>
          <w:rFonts w:hint="default" w:ascii="Times New Roman" w:hAnsi="Times New Roman" w:eastAsia="仿宋_GB2312" w:cs="Times New Roman"/>
          <w:spacing w:val="1"/>
          <w:sz w:val="32"/>
          <w:szCs w:val="32"/>
        </w:rPr>
        <w:t>供销</w:t>
      </w:r>
      <w:r>
        <w:rPr>
          <w:rFonts w:hint="default" w:ascii="Times New Roman" w:hAnsi="Times New Roman" w:eastAsia="仿宋_GB2312" w:cs="Times New Roman"/>
          <w:spacing w:val="1"/>
          <w:sz w:val="32"/>
          <w:szCs w:val="32"/>
          <w:lang w:val="en-US" w:eastAsia="zh-CN"/>
        </w:rPr>
        <w:t>联</w:t>
      </w:r>
      <w:r>
        <w:rPr>
          <w:rFonts w:hint="default" w:ascii="Times New Roman" w:hAnsi="Times New Roman" w:eastAsia="仿宋_GB2312" w:cs="Times New Roman"/>
          <w:spacing w:val="1"/>
          <w:sz w:val="32"/>
          <w:szCs w:val="32"/>
        </w:rPr>
        <w:t>社，各</w:t>
      </w:r>
      <w:r>
        <w:rPr>
          <w:rFonts w:hint="default" w:ascii="Times New Roman" w:hAnsi="Times New Roman" w:eastAsia="仿宋_GB2312" w:cs="Times New Roman"/>
          <w:spacing w:val="1"/>
          <w:sz w:val="32"/>
          <w:szCs w:val="32"/>
          <w:lang w:val="en-US" w:eastAsia="zh-CN"/>
        </w:rPr>
        <w:t>镇政府、街道办事处</w:t>
      </w:r>
      <w:r>
        <w:rPr>
          <w:rFonts w:hint="default" w:ascii="Times New Roman" w:hAnsi="Times New Roman" w:eastAsia="仿宋_GB2312" w:cs="Times New Roman"/>
          <w:spacing w:val="1"/>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构建</w:t>
      </w:r>
      <w:r>
        <w:rPr>
          <w:rFonts w:hint="default" w:ascii="Times New Roman" w:hAnsi="Times New Roman" w:eastAsia="仿宋_GB2312" w:cs="Times New Roman"/>
          <w:sz w:val="32"/>
          <w:szCs w:val="32"/>
        </w:rPr>
        <w:t>农资流通服务网络体系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rPr>
        <w:t>融入全国农资仓储设施骨干网和全省“5+5+N”农资仓配体系，支持供销合作社</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县域农资配送中心，</w:t>
      </w:r>
      <w:r>
        <w:rPr>
          <w:rFonts w:hint="default" w:ascii="Times New Roman" w:hAnsi="Times New Roman" w:eastAsia="仿宋_GB2312" w:cs="Times New Roman"/>
          <w:sz w:val="32"/>
          <w:szCs w:val="32"/>
          <w:lang w:val="en-US" w:eastAsia="zh-CN"/>
        </w:rPr>
        <w:t>发挥农资网点作用，</w:t>
      </w:r>
      <w:r>
        <w:rPr>
          <w:rFonts w:hint="default" w:ascii="Times New Roman" w:hAnsi="Times New Roman" w:eastAsia="仿宋_GB2312" w:cs="Times New Roman"/>
          <w:sz w:val="32"/>
          <w:szCs w:val="32"/>
        </w:rPr>
        <w:t>提升服务保障能力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统筹整合优质资源，搭建农资服务平台，逐步形成</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、镇、村三级农资流通服务网络体系。支持供销合作社农资企业拓展经营服务范围，扩大</w:t>
      </w:r>
      <w:r>
        <w:rPr>
          <w:rFonts w:hint="default" w:ascii="Times New Roman" w:hAnsi="Times New Roman" w:eastAsia="仿宋_GB2312" w:cs="Times New Roman"/>
          <w:sz w:val="32"/>
          <w:szCs w:val="32"/>
          <w:lang w:val="en-US" w:eastAsia="zh-CN"/>
        </w:rPr>
        <w:t>经营和</w:t>
      </w:r>
      <w:r>
        <w:rPr>
          <w:rFonts w:hint="default" w:ascii="Times New Roman" w:hAnsi="Times New Roman" w:eastAsia="仿宋_GB2312" w:cs="Times New Roman"/>
          <w:sz w:val="32"/>
          <w:szCs w:val="32"/>
        </w:rPr>
        <w:t>仓储能力，开展“一对一”“点对点”直供，打造</w:t>
      </w:r>
      <w:r>
        <w:rPr>
          <w:rFonts w:hint="default" w:ascii="Times New Roman" w:hAnsi="Times New Roman" w:eastAsia="仿宋_GB2312" w:cs="Times New Roman"/>
          <w:sz w:val="32"/>
          <w:szCs w:val="32"/>
          <w:lang w:val="en-US" w:eastAsia="zh-CN"/>
        </w:rPr>
        <w:t>半</w:t>
      </w:r>
      <w:r>
        <w:rPr>
          <w:rFonts w:hint="default" w:ascii="Times New Roman" w:hAnsi="Times New Roman" w:eastAsia="仿宋_GB2312" w:cs="Times New Roman"/>
          <w:sz w:val="32"/>
          <w:szCs w:val="32"/>
        </w:rPr>
        <w:t>小时农资配送服务圈。深入实施“绿色农资”行动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促进肥药“双减”。（责任单位：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发展改革</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商务局、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自然资源局、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再生资源回收利用网络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支持供销合作社</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再生资源回收利用网络，</w:t>
      </w:r>
      <w:r>
        <w:rPr>
          <w:rFonts w:hint="default"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rPr>
        <w:t>开展废旧家电回收、报废汽车规范拆解等再生资源业务，积极参与</w:t>
      </w:r>
      <w:r>
        <w:rPr>
          <w:rFonts w:hint="default" w:ascii="Times New Roman" w:hAnsi="Times New Roman" w:eastAsia="仿宋_GB2312" w:cs="Times New Roman"/>
          <w:sz w:val="32"/>
          <w:szCs w:val="32"/>
          <w:lang w:val="en-US" w:eastAsia="zh-CN"/>
        </w:rPr>
        <w:t>大规模设备更新和</w:t>
      </w:r>
      <w:r>
        <w:rPr>
          <w:rFonts w:hint="default" w:ascii="Times New Roman" w:hAnsi="Times New Roman" w:eastAsia="仿宋_GB2312" w:cs="Times New Roman"/>
          <w:sz w:val="32"/>
          <w:szCs w:val="32"/>
        </w:rPr>
        <w:t>消费品以旧换新等行动，推动回收利用网络体系标准化规范化发展。</w:t>
      </w:r>
      <w:r>
        <w:rPr>
          <w:rFonts w:hint="default" w:ascii="Times New Roman" w:hAnsi="Times New Roman" w:eastAsia="仿宋_GB2312" w:cs="Times New Roman"/>
          <w:sz w:val="32"/>
          <w:szCs w:val="32"/>
          <w:lang w:val="en-US" w:eastAsia="zh-CN"/>
        </w:rPr>
        <w:t>完善不锈钢产业链条，加快配套产业发展，推进废旧不锈钢回收利用，助力专业市场提档升级。</w:t>
      </w:r>
      <w:r>
        <w:rPr>
          <w:rFonts w:hint="default" w:ascii="Times New Roman" w:hAnsi="Times New Roman" w:eastAsia="仿宋_GB2312" w:cs="Times New Roman"/>
          <w:sz w:val="32"/>
          <w:szCs w:val="32"/>
        </w:rPr>
        <w:t>（责任单位：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发展改革</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w:t>
      </w:r>
      <w:r>
        <w:rPr>
          <w:rFonts w:hint="default"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商务局、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聚</w:t>
      </w:r>
      <w:r>
        <w:rPr>
          <w:rFonts w:hint="default" w:ascii="Times New Roman" w:hAnsi="Times New Roman" w:eastAsia="楷体_GB2312" w:cs="Times New Roman"/>
          <w:sz w:val="32"/>
          <w:szCs w:val="32"/>
        </w:rPr>
        <w:t>力打造农业社会化服务生力军</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培育农业社会化服务骨干力量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供销合作社发挥系统优势，加快培育一批农业社会化服务企业。推进为农服务综合平台建设和规范提升，领办服务型农民专业合作社，因地制宜推广“村党组织领办合作社+供销合作社”托管服务模式，构建以社有企业为支撑、基层供销合作社为基础、为农服务中心为载体的服务体系。支持供销合作社</w:t>
      </w:r>
      <w:r>
        <w:rPr>
          <w:rFonts w:hint="default" w:ascii="Times New Roman" w:hAnsi="Times New Roman" w:eastAsia="仿宋_GB2312" w:cs="Times New Roman"/>
          <w:sz w:val="32"/>
          <w:szCs w:val="32"/>
          <w:lang w:val="en-US" w:eastAsia="zh-CN"/>
        </w:rPr>
        <w:t>参与</w:t>
      </w:r>
      <w:r>
        <w:rPr>
          <w:rFonts w:hint="default" w:ascii="Times New Roman" w:hAnsi="Times New Roman" w:eastAsia="仿宋_GB2312" w:cs="Times New Roman"/>
          <w:sz w:val="32"/>
          <w:szCs w:val="32"/>
        </w:rPr>
        <w:t>农业社会化服务数字平台建设。（责任单位：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委组织部，各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完善农业社会化服务保障机制。</w:t>
      </w:r>
      <w:r>
        <w:rPr>
          <w:rFonts w:hint="default" w:ascii="Times New Roman" w:hAnsi="Times New Roman" w:eastAsia="仿宋_GB2312" w:cs="Times New Roman"/>
          <w:sz w:val="32"/>
          <w:szCs w:val="32"/>
          <w:lang w:val="en-US" w:eastAsia="zh-CN"/>
        </w:rPr>
        <w:t>积极争取</w:t>
      </w:r>
      <w:r>
        <w:rPr>
          <w:rFonts w:hint="default" w:ascii="Times New Roman" w:hAnsi="Times New Roman" w:eastAsia="仿宋_GB2312" w:cs="Times New Roman"/>
          <w:sz w:val="32"/>
          <w:szCs w:val="32"/>
        </w:rPr>
        <w:t>国家农业社会化服务试点项目，促进小农户和现代农业发展有机衔接。统筹土地综合整治、高标准农田建设、水利设施配套等项目，支持供销合作社</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集中托管服务</w:t>
      </w:r>
      <w:r>
        <w:rPr>
          <w:rFonts w:hint="default" w:ascii="Times New Roman" w:hAnsi="Times New Roman" w:eastAsia="仿宋_GB2312" w:cs="Times New Roman"/>
          <w:sz w:val="32"/>
          <w:szCs w:val="32"/>
          <w:lang w:val="en-US" w:eastAsia="zh-CN"/>
        </w:rPr>
        <w:t>农业片区建设</w:t>
      </w:r>
      <w:r>
        <w:rPr>
          <w:rFonts w:hint="default" w:ascii="Times New Roman" w:hAnsi="Times New Roman" w:eastAsia="仿宋_GB2312" w:cs="Times New Roman"/>
          <w:sz w:val="32"/>
          <w:szCs w:val="32"/>
        </w:rPr>
        <w:t>。推动农业保险增品扩面提质，因地制宜创新地方优势特色农产品保险，优化涉农保险承保理赔服务。</w:t>
      </w:r>
      <w:r>
        <w:rPr>
          <w:rFonts w:hint="default" w:ascii="Times New Roman" w:hAnsi="Times New Roman" w:eastAsia="仿宋_GB2312" w:cs="Times New Roman"/>
          <w:sz w:val="32"/>
          <w:szCs w:val="32"/>
          <w:lang w:val="en-US" w:eastAsia="zh-CN"/>
        </w:rPr>
        <w:t>推进乡村振兴“供销贷”，助力“三农”发展</w:t>
      </w:r>
      <w:r>
        <w:rPr>
          <w:rFonts w:hint="default" w:ascii="Times New Roman" w:hAnsi="Times New Roman" w:eastAsia="仿宋_GB2312" w:cs="Times New Roman"/>
          <w:sz w:val="32"/>
          <w:szCs w:val="32"/>
        </w:rPr>
        <w:t>。（责任单位：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val="en-US" w:eastAsia="zh-CN"/>
        </w:rPr>
        <w:t>聚</w:t>
      </w:r>
      <w:r>
        <w:rPr>
          <w:rFonts w:hint="default" w:ascii="Times New Roman" w:hAnsi="Times New Roman" w:eastAsia="楷体_GB2312" w:cs="Times New Roman"/>
          <w:sz w:val="32"/>
          <w:szCs w:val="32"/>
        </w:rPr>
        <w:t>力推进农产品物流和保障体系建设</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推</w:t>
      </w:r>
      <w:r>
        <w:rPr>
          <w:rFonts w:hint="default" w:ascii="Times New Roman" w:hAnsi="Times New Roman" w:eastAsia="仿宋_GB2312" w:cs="Times New Roman"/>
          <w:sz w:val="32"/>
          <w:szCs w:val="32"/>
        </w:rPr>
        <w:t>进农产品产销对接。支持供销合作社建设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造农产品主产区、主销区、集散地市场，积极参与政府投资建设的农批市场、农贸市场运营管理。加强农产品产业链上下游对接，发展直采直供和社区团购模式，推动农村电子商务高质量发展，助推农产品上行增效和农民增收。支持供销合作社参与政府采购脱贫地区农副产品平台建设运营有关工作。</w:t>
      </w:r>
      <w:r>
        <w:rPr>
          <w:rFonts w:hint="default" w:ascii="Times New Roman" w:hAnsi="Times New Roman" w:eastAsia="仿宋_GB2312" w:cs="Times New Roman"/>
          <w:sz w:val="32"/>
          <w:szCs w:val="32"/>
          <w:lang w:val="en-US" w:eastAsia="zh-CN"/>
        </w:rPr>
        <w:t>开展“供销年货大集”“共富市集”“供销甄品”等特色惠农活动，促进城乡经济发展和农村市场繁荣，壮大村集体经济，实现农民增收。</w:t>
      </w:r>
      <w:r>
        <w:rPr>
          <w:rFonts w:hint="default" w:ascii="Times New Roman" w:hAnsi="Times New Roman" w:eastAsia="仿宋_GB2312" w:cs="Times New Roman"/>
          <w:sz w:val="32"/>
          <w:szCs w:val="32"/>
        </w:rPr>
        <w:t>（责任单位：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商务局、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市场监管局、</w:t>
      </w:r>
      <w:r>
        <w:rPr>
          <w:rFonts w:hint="default" w:ascii="Times New Roman" w:hAnsi="Times New Roman" w:eastAsia="仿宋_GB2312" w:cs="Times New Roman"/>
          <w:sz w:val="32"/>
          <w:szCs w:val="32"/>
          <w:lang w:val="en-US" w:eastAsia="zh-CN"/>
        </w:rPr>
        <w:t>周村</w:t>
      </w:r>
      <w:r>
        <w:rPr>
          <w:rFonts w:hint="default" w:ascii="Times New Roman" w:hAnsi="Times New Roman" w:eastAsia="仿宋_GB2312" w:cs="Times New Roman"/>
          <w:sz w:val="32"/>
          <w:szCs w:val="32"/>
        </w:rPr>
        <w:t>邮政</w:t>
      </w:r>
      <w:r>
        <w:rPr>
          <w:rFonts w:hint="default" w:ascii="Times New Roman" w:hAnsi="Times New Roman" w:eastAsia="仿宋_GB2312" w:cs="Times New Roman"/>
          <w:sz w:val="32"/>
          <w:szCs w:val="32"/>
          <w:lang w:val="en-US" w:eastAsia="zh-CN"/>
        </w:rPr>
        <w:t>分公司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委组织部，各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w:t>
      </w:r>
      <w:r>
        <w:rPr>
          <w:rFonts w:hint="default" w:ascii="Times New Roman" w:hAnsi="Times New Roman" w:eastAsia="仿宋_GB2312" w:cs="Times New Roman"/>
          <w:sz w:val="32"/>
          <w:szCs w:val="32"/>
        </w:rPr>
        <w:t>展农产品冷链物流配送。支持供销合作社参与农产品冷链物流重大项目建设，支撑构建绿色高效的全链条农产品冷链物流网。发挥供销合作社系统资源优势，布局建设区域性冷链物流中心、田头保鲜仓，积极对接采供网点，大力开展农超、农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农校、农企等对接，提升农产品冷链物流服务水平。（责任单位：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发展改革</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商务局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区服务业</w:t>
      </w:r>
      <w:r>
        <w:rPr>
          <w:rFonts w:hint="default" w:ascii="Times New Roman" w:hAnsi="Times New Roman" w:eastAsia="仿宋_GB2312" w:cs="Times New Roman"/>
          <w:sz w:val="32"/>
          <w:szCs w:val="32"/>
        </w:rPr>
        <w:t>发展中心，各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建重要农产品应急保障体系。围绕重要农产品、日用品、农资等布局建设应急保障基地和县级应急保障中心，提升服务和应急保障能力。加大重要农产品应急储备，研究重要农产品储备的种类、规模，制定补助标准，落实补助政策。发挥供销合作社网络渠道优势，积极参与粮食应急体系建设，探索构建重要农产品应急储备体系，建立轮换运营机制，实现仓储、调配、供应一体协同。（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发展改革</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自然资源局、</w:t>
      </w:r>
      <w:r>
        <w:rPr>
          <w:rFonts w:hint="default" w:ascii="Times New Roman" w:hAnsi="Times New Roman" w:eastAsia="仿宋_GB2312" w:cs="Times New Roman"/>
          <w:sz w:val="32"/>
          <w:szCs w:val="32"/>
          <w:lang w:val="en-US" w:eastAsia="zh-CN"/>
        </w:rPr>
        <w:t>周村</w:t>
      </w:r>
      <w:r>
        <w:rPr>
          <w:rFonts w:hint="default" w:ascii="Times New Roman" w:hAnsi="Times New Roman" w:eastAsia="仿宋_GB2312" w:cs="Times New Roman"/>
          <w:sz w:val="32"/>
          <w:szCs w:val="32"/>
        </w:rPr>
        <w:t>规划</w:t>
      </w:r>
      <w:r>
        <w:rPr>
          <w:rFonts w:hint="default" w:ascii="Times New Roman" w:hAnsi="Times New Roman" w:eastAsia="仿宋_GB2312" w:cs="Times New Roman"/>
          <w:sz w:val="32"/>
          <w:szCs w:val="32"/>
          <w:lang w:val="en-US" w:eastAsia="zh-CN"/>
        </w:rPr>
        <w:t>管理办公室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商务局、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lang w:val="en-US" w:eastAsia="zh-CN"/>
        </w:rPr>
        <w:t>聚</w:t>
      </w:r>
      <w:r>
        <w:rPr>
          <w:rFonts w:hint="default" w:ascii="Times New Roman" w:hAnsi="Times New Roman" w:eastAsia="楷体_GB2312" w:cs="Times New Roman"/>
          <w:sz w:val="32"/>
          <w:szCs w:val="32"/>
        </w:rPr>
        <w:t>力做大做强社有企业</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深化社有企业改革。按照政事分开、社企分开要求，持续深化社有企业改革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支持社有企业依法享受关于国有企业改革发展的优惠政策，在股权转让、资产评估增值、债务重组收益、土地房屋权属转移等方面按规定减免相关税费。</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供销合作社成立社有资产管理委员会，组建社有资本投资运营平台，落实社有资本保值增值责任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支持社有企业对表现突出的团队和个人给予特别激励。（责任单位：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委编办、</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发展改革</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育壮大社有龙头企业。围绕农资、农产品、日用消费品、冷链物流、农业社会化服务等优势产业，加快培育为农服务骨干龙头企业。推动社有企业密切与上级供销合作社龙头企业联合合作，鼓励社有企业与系统外优质企业开展合作。坚持项目引领，积极争取全国总社、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供销合作社项目在我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落地。允许上级社争取的同级财政扶持资金依法以股权形式投入下级社。（责任单位：</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商务局，各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w:t>
      </w:r>
      <w:r>
        <w:rPr>
          <w:rFonts w:hint="default" w:ascii="Times New Roman" w:hAnsi="Times New Roman" w:eastAsia="楷体_GB2312" w:cs="Times New Roman"/>
          <w:sz w:val="32"/>
          <w:szCs w:val="32"/>
          <w:lang w:val="en-US" w:eastAsia="zh-CN"/>
        </w:rPr>
        <w:t>聚</w:t>
      </w:r>
      <w:r>
        <w:rPr>
          <w:rFonts w:hint="default" w:ascii="Times New Roman" w:hAnsi="Times New Roman" w:eastAsia="楷体_GB2312" w:cs="Times New Roman"/>
          <w:sz w:val="32"/>
          <w:szCs w:val="32"/>
        </w:rPr>
        <w:t>力强化基层组织体系建设</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w:t>
      </w:r>
      <w:r>
        <w:rPr>
          <w:rFonts w:hint="default" w:ascii="Times New Roman" w:hAnsi="Times New Roman" w:eastAsia="仿宋_GB2312" w:cs="Times New Roman"/>
          <w:sz w:val="32"/>
          <w:szCs w:val="32"/>
        </w:rPr>
        <w:t>强县级供销合作社建设。强化县级供销合作社在基层供销合作社建设中的主导作用，切实履行统筹规划、政策协调、资产监管、人才培育等职责，整合人、财、物等资源，加大向基层供销合作社倾斜支持力度。进一步理清资产状况和产权关系，通过盘活闲置资产、社有企业带动等方式，推动基层供销合作社发展。强化县级供销合作社工作力量，保障供销合作事业发展所需经费和办公场所。（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委编办、</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val="en-US" w:eastAsia="zh-CN"/>
        </w:rPr>
        <w:t>区政府办公室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改造提升基层供销合作社。支持供销合作社围绕主责主业，</w:t>
      </w:r>
      <w:r>
        <w:rPr>
          <w:rFonts w:hint="default" w:ascii="Times New Roman" w:hAnsi="Times New Roman" w:eastAsia="仿宋_GB2312" w:cs="Times New Roman"/>
          <w:sz w:val="32"/>
          <w:szCs w:val="32"/>
          <w:lang w:val="en-US" w:eastAsia="zh-CN"/>
        </w:rPr>
        <w:t>建设发展</w:t>
      </w:r>
      <w:r>
        <w:rPr>
          <w:rFonts w:hint="default" w:ascii="Times New Roman" w:hAnsi="Times New Roman" w:eastAsia="仿宋_GB2312" w:cs="Times New Roman"/>
          <w:sz w:val="32"/>
          <w:szCs w:val="32"/>
        </w:rPr>
        <w:t>经济实力强、服务能力优的基层供销合作社，改造提升薄弱基层供销合作社，支持“空白”地区恢复重建基层供销合作社。实施“强基兴社”工程，规范发展村级供销合作社。支持基层供销合作社与村“两委”开展“村社共建”，联合开展为农服务。（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委组织部、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委编办、</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委社会工作部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rPr>
        <w:t>要进一步提高思想认识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统筹谋划、协调推进，加快推动供销合作社高质量发展。要积极发挥职能作用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密切协作配合，落实相关配套支持政策，优化供销合作社高质量发展环境。（责任单位：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委组织部、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发展改革</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完善</w:t>
      </w:r>
      <w:r>
        <w:rPr>
          <w:rFonts w:hint="default" w:ascii="Times New Roman" w:hAnsi="Times New Roman" w:eastAsia="楷体_GB2312" w:cs="Times New Roman"/>
          <w:sz w:val="32"/>
          <w:szCs w:val="32"/>
        </w:rPr>
        <w:t>政策</w:t>
      </w:r>
      <w:r>
        <w:rPr>
          <w:rFonts w:hint="default" w:ascii="Times New Roman" w:hAnsi="Times New Roman" w:eastAsia="楷体_GB2312" w:cs="Times New Roman"/>
          <w:sz w:val="32"/>
          <w:szCs w:val="32"/>
          <w:lang w:val="en-US" w:eastAsia="zh-CN"/>
        </w:rPr>
        <w:t>措施</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部门单位</w:t>
      </w:r>
      <w:r>
        <w:rPr>
          <w:rFonts w:hint="default" w:ascii="Times New Roman" w:hAnsi="Times New Roman" w:eastAsia="仿宋_GB2312" w:cs="Times New Roman"/>
          <w:sz w:val="32"/>
          <w:szCs w:val="32"/>
        </w:rPr>
        <w:t>要根据供销合作社高质量发展需要，整合相关领域政策，支持供销合作社为农服务重点项目建设。要将供销合作社开展为农服务涉及的合理信贷需求纳入普惠金融体系</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鼓励发放无担保无抵押信用贷款，充分发挥农业信贷担保作用，提高信贷服务水平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对供销合作社财务挂账、金融债务、社有资产权属等历史遗留问题，各级各有关部门要积极探索解决方案，抓紧落实处理。（责任单位：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自然资源局、</w:t>
      </w:r>
      <w:r>
        <w:rPr>
          <w:rFonts w:hint="default" w:ascii="Times New Roman" w:hAnsi="Times New Roman" w:eastAsia="仿宋_GB2312" w:cs="Times New Roman"/>
          <w:sz w:val="32"/>
          <w:szCs w:val="32"/>
          <w:lang w:val="en-US" w:eastAsia="zh-CN"/>
        </w:rPr>
        <w:t>周村</w:t>
      </w:r>
      <w:r>
        <w:rPr>
          <w:rFonts w:hint="default" w:ascii="Times New Roman" w:hAnsi="Times New Roman" w:eastAsia="仿宋_GB2312" w:cs="Times New Roman"/>
          <w:sz w:val="32"/>
          <w:szCs w:val="32"/>
        </w:rPr>
        <w:t>规划</w:t>
      </w:r>
      <w:r>
        <w:rPr>
          <w:rFonts w:hint="default" w:ascii="Times New Roman" w:hAnsi="Times New Roman" w:eastAsia="仿宋_GB2312" w:cs="Times New Roman"/>
          <w:sz w:val="32"/>
          <w:szCs w:val="32"/>
          <w:lang w:val="en-US" w:eastAsia="zh-CN"/>
        </w:rPr>
        <w:t>管理办公室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区法院、</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10"/>
        <w:keepNext w:val="0"/>
        <w:keepLines w:val="0"/>
        <w:pageBreakBefore w:val="0"/>
        <w:widowControl/>
        <w:kinsoku/>
        <w:wordWrap/>
        <w:overflowPunct w:val="0"/>
        <w:topLinePunct w:val="0"/>
        <w:autoSpaceDE w:val="0"/>
        <w:autoSpaceDN w:val="0"/>
        <w:bidi w:val="0"/>
        <w:adjustRightInd w:val="0"/>
        <w:snapToGrid w:val="0"/>
        <w:spacing w:before="0" w:beforeLines="0" w:after="0" w:afterLines="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val="en-US" w:eastAsia="zh-CN"/>
        </w:rPr>
        <w:t>强化资产</w:t>
      </w:r>
      <w:r>
        <w:rPr>
          <w:rFonts w:hint="default" w:ascii="Times New Roman" w:hAnsi="Times New Roman" w:eastAsia="楷体_GB2312" w:cs="Times New Roman"/>
          <w:sz w:val="32"/>
          <w:szCs w:val="32"/>
        </w:rPr>
        <w:t>监管。</w:t>
      </w:r>
      <w:r>
        <w:rPr>
          <w:rFonts w:hint="default" w:ascii="Times New Roman" w:hAnsi="Times New Roman" w:eastAsia="仿宋_GB2312" w:cs="Times New Roman"/>
          <w:sz w:val="32"/>
          <w:szCs w:val="32"/>
        </w:rPr>
        <w:t>供销合作社要履行好本级社有资产监管主体责任，全面开展资产清查和合同规范管理，完善资产信息管理系统，落实好本系统社有资产监管指导职责，</w:t>
      </w:r>
      <w:r>
        <w:rPr>
          <w:rFonts w:hint="default" w:ascii="Times New Roman" w:hAnsi="Times New Roman" w:eastAsia="仿宋_GB2312" w:cs="Times New Roman"/>
          <w:sz w:val="32"/>
          <w:szCs w:val="32"/>
          <w:lang w:val="en-US" w:eastAsia="zh-CN"/>
        </w:rPr>
        <w:t>健全完善社有资产管理办法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社有资产保值增值。要保持供销合作社社有资产的完整性，任何部门单位不得违法违规平调、侵占供销合作社资产，不得将社有资产纳入地方政府融资平台，征用、征收社有资产要按照有关规定合理补偿或等值调剂。按照“一宗一策”“一地一案”原则，推进社有存量用地盘活利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所得收益实行“收支两条线”管理，按规定优先用于供销合作社项目建设和遗留问题处置。（责任单位：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自然资源局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lang w:val="en-US" w:eastAsia="zh-CN"/>
        </w:rPr>
        <w:t>注重</w:t>
      </w:r>
      <w:r>
        <w:rPr>
          <w:rFonts w:hint="default" w:ascii="Times New Roman" w:hAnsi="Times New Roman" w:eastAsia="楷体_GB2312" w:cs="Times New Roman"/>
          <w:sz w:val="32"/>
          <w:szCs w:val="32"/>
        </w:rPr>
        <w:t>自身建设。</w:t>
      </w:r>
      <w:r>
        <w:rPr>
          <w:rFonts w:hint="default" w:ascii="Times New Roman" w:hAnsi="Times New Roman" w:eastAsia="仿宋_GB2312" w:cs="Times New Roman"/>
          <w:sz w:val="32"/>
          <w:szCs w:val="32"/>
        </w:rPr>
        <w:t>加强人才队伍建设，探索建立合作经济组织特色干部人事制度，造就一支高素质干部职工队伍。加快推进社员代表大会、理事会、监事会建设，配齐配强各级供销合作社领导班子。加强党风廉政建设，持之以恒正风肃纪，为供销合作社高质量发展提供坚强保障。（责任单位：</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委组织部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w:t>
      </w: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rPr>
        <w:t>社，各</w:t>
      </w:r>
      <w:r>
        <w:rPr>
          <w:rFonts w:hint="default" w:ascii="Times New Roman" w:hAnsi="Times New Roman" w:eastAsia="仿宋_GB2312" w:cs="Times New Roman"/>
          <w:sz w:val="32"/>
          <w:szCs w:val="32"/>
          <w:lang w:val="en-US" w:eastAsia="zh-CN"/>
        </w:rPr>
        <w:t>镇政府、街道办事处</w:t>
      </w:r>
      <w:r>
        <w:rPr>
          <w:rFonts w:hint="default" w:ascii="Times New Roman" w:hAnsi="Times New Roman" w:eastAsia="仿宋_GB2312" w:cs="Times New Roman"/>
          <w:sz w:val="32"/>
          <w:szCs w:val="32"/>
        </w:rPr>
        <w:t>）</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tabs>
          <w:tab w:val="left" w:pos="7800"/>
        </w:tabs>
        <w:kinsoku/>
        <w:wordWrap/>
        <w:overflowPunct/>
        <w:topLinePunct w:val="0"/>
        <w:autoSpaceDE/>
        <w:autoSpaceDN/>
        <w:bidi w:val="0"/>
        <w:spacing w:before="0" w:beforeLines="0" w:after="0" w:afterLines="0" w:line="580" w:lineRule="exact"/>
        <w:ind w:right="1384" w:rightChars="659"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周村区人民政府</w:t>
      </w:r>
    </w:p>
    <w:p>
      <w:pPr>
        <w:keepNext w:val="0"/>
        <w:keepLines w:val="0"/>
        <w:pageBreakBefore w:val="0"/>
        <w:kinsoku/>
        <w:wordWrap/>
        <w:overflowPunct/>
        <w:topLinePunct w:val="0"/>
        <w:autoSpaceDE/>
        <w:autoSpaceDN/>
        <w:bidi w:val="0"/>
        <w:spacing w:before="0" w:beforeLines="0" w:after="0" w:afterLines="0" w:line="580" w:lineRule="exact"/>
        <w:ind w:right="1283" w:rightChars="611"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w:t>
      </w:r>
    </w:p>
    <w:p>
      <w:pPr>
        <w:keepNext w:val="0"/>
        <w:keepLines w:val="0"/>
        <w:pageBreakBefore w:val="0"/>
        <w:kinsoku/>
        <w:wordWrap/>
        <w:overflowPunct/>
        <w:topLinePunct w:val="0"/>
        <w:autoSpaceDE/>
        <w:autoSpaceDN/>
        <w:bidi w:val="0"/>
        <w:spacing w:before="0" w:beforeLines="0" w:after="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pStyle w:val="33"/>
        <w:spacing w:line="100" w:lineRule="exact"/>
        <w:jc w:val="both"/>
        <w:rPr>
          <w:rFonts w:hint="default" w:ascii="Times New Roman" w:hAnsi="Times New Roman" w:eastAsia="仿宋_GB2312" w:cs="Times New Roman"/>
          <w:b/>
          <w:spacing w:val="-16"/>
          <w:sz w:val="30"/>
        </w:rPr>
      </w:pPr>
    </w:p>
    <w:p>
      <w:pPr>
        <w:pStyle w:val="33"/>
        <w:spacing w:line="100" w:lineRule="exact"/>
        <w:jc w:val="both"/>
        <w:rPr>
          <w:rFonts w:hint="default" w:ascii="Times New Roman" w:hAnsi="Times New Roman" w:eastAsia="仿宋_GB2312" w:cs="Times New Roman"/>
          <w:b/>
          <w:spacing w:val="-16"/>
          <w:sz w:val="30"/>
        </w:rPr>
      </w:pPr>
    </w:p>
    <w:p>
      <w:pPr>
        <w:pStyle w:val="33"/>
        <w:spacing w:line="100" w:lineRule="exact"/>
        <w:jc w:val="both"/>
        <w:rPr>
          <w:rFonts w:hint="default" w:ascii="Times New Roman" w:hAnsi="Times New Roman" w:eastAsia="仿宋_GB2312" w:cs="Times New Roman"/>
          <w:b/>
          <w:spacing w:val="-16"/>
          <w:sz w:val="30"/>
        </w:rPr>
      </w:pPr>
    </w:p>
    <w:p>
      <w:pPr>
        <w:pStyle w:val="33"/>
        <w:spacing w:line="100" w:lineRule="exact"/>
        <w:jc w:val="both"/>
        <w:rPr>
          <w:rFonts w:hint="default" w:ascii="Times New Roman" w:hAnsi="Times New Roman" w:eastAsia="仿宋_GB2312" w:cs="Times New Roman"/>
          <w:b/>
          <w:spacing w:val="-16"/>
          <w:sz w:val="30"/>
        </w:rPr>
      </w:pPr>
    </w:p>
    <w:p>
      <w:pPr>
        <w:pStyle w:val="33"/>
        <w:spacing w:line="100" w:lineRule="exact"/>
        <w:jc w:val="both"/>
        <w:rPr>
          <w:rFonts w:hint="default" w:ascii="Times New Roman" w:hAnsi="Times New Roman" w:eastAsia="仿宋_GB2312" w:cs="Times New Roman"/>
          <w:b/>
          <w:spacing w:val="-16"/>
          <w:sz w:val="30"/>
        </w:rPr>
      </w:pPr>
    </w:p>
    <w:p>
      <w:pPr>
        <w:pStyle w:val="33"/>
        <w:spacing w:line="100" w:lineRule="exact"/>
        <w:jc w:val="both"/>
        <w:rPr>
          <w:rFonts w:hint="default" w:ascii="Times New Roman" w:hAnsi="Times New Roman" w:eastAsia="仿宋_GB2312" w:cs="Times New Roman"/>
          <w:b/>
          <w:spacing w:val="-16"/>
          <w:sz w:val="30"/>
        </w:rPr>
      </w:pPr>
    </w:p>
    <w:p>
      <w:pPr>
        <w:pStyle w:val="33"/>
        <w:spacing w:line="340" w:lineRule="exact"/>
        <w:jc w:val="both"/>
        <w:rPr>
          <w:rFonts w:hint="default" w:ascii="Times New Roman" w:hAnsi="Times New Roman" w:eastAsia="仿宋_GB2312" w:cs="Times New Roman"/>
          <w:b/>
          <w:spacing w:val="-16"/>
          <w:sz w:val="30"/>
        </w:rPr>
      </w:pPr>
      <w:r>
        <w:rPr>
          <w:rFonts w:hint="default" w:ascii="Times New Roman" w:hAnsi="Times New Roman" w:eastAsia="仿宋_GB2312" w:cs="Times New Roman"/>
          <w:b/>
          <w:spacing w:val="-16"/>
          <w:sz w:val="30"/>
        </w:rPr>
        <w:t>———————————————————————————————</w:t>
      </w:r>
    </w:p>
    <w:p>
      <w:pPr>
        <w:pStyle w:val="25"/>
        <w:spacing w:line="340" w:lineRule="exact"/>
        <w:ind w:firstLine="274" w:firstLineChars="100"/>
        <w:jc w:val="both"/>
        <w:rPr>
          <w:rFonts w:hint="default" w:ascii="Times New Roman" w:hAnsi="Times New Roman" w:eastAsia="仿宋_GB2312" w:cs="Times New Roman"/>
          <w:spacing w:val="-3"/>
          <w:sz w:val="28"/>
          <w:szCs w:val="28"/>
        </w:rPr>
      </w:pPr>
      <w:r>
        <w:rPr>
          <w:rFonts w:hint="default" w:ascii="Times New Roman" w:hAnsi="Times New Roman" w:eastAsia="仿宋_GB2312" w:cs="Times New Roman"/>
          <w:spacing w:val="-3"/>
          <w:sz w:val="28"/>
          <w:szCs w:val="28"/>
        </w:rPr>
        <w:t>抄送：区委</w:t>
      </w:r>
      <w:r>
        <w:rPr>
          <w:rFonts w:hint="eastAsia" w:ascii="Times New Roman" w:hAnsi="Times New Roman" w:eastAsia="仿宋_GB2312" w:cs="Times New Roman"/>
          <w:spacing w:val="-3"/>
          <w:sz w:val="28"/>
          <w:szCs w:val="28"/>
          <w:lang w:eastAsia="zh-CN"/>
        </w:rPr>
        <w:t>办</w:t>
      </w:r>
      <w:r>
        <w:rPr>
          <w:rFonts w:hint="default" w:ascii="Times New Roman" w:hAnsi="Times New Roman" w:eastAsia="仿宋_GB2312" w:cs="Times New Roman"/>
          <w:spacing w:val="-3"/>
          <w:sz w:val="28"/>
          <w:szCs w:val="28"/>
        </w:rPr>
        <w:t>，区人大办，区政协办，</w:t>
      </w:r>
      <w:r>
        <w:rPr>
          <w:rFonts w:hint="eastAsia" w:ascii="Times New Roman" w:hAnsi="Times New Roman" w:eastAsia="仿宋_GB2312" w:cs="Times New Roman"/>
          <w:spacing w:val="-3"/>
          <w:sz w:val="28"/>
          <w:szCs w:val="28"/>
          <w:lang w:eastAsia="zh-CN"/>
        </w:rPr>
        <w:t>区纪委办，</w:t>
      </w:r>
      <w:r>
        <w:rPr>
          <w:rFonts w:hint="default" w:ascii="Times New Roman" w:hAnsi="Times New Roman" w:eastAsia="仿宋_GB2312" w:cs="Times New Roman"/>
          <w:spacing w:val="-3"/>
          <w:sz w:val="28"/>
          <w:szCs w:val="28"/>
        </w:rPr>
        <w:t>区人武部，区法院，</w:t>
      </w:r>
    </w:p>
    <w:p>
      <w:pPr>
        <w:pStyle w:val="25"/>
        <w:spacing w:line="340" w:lineRule="exact"/>
        <w:jc w:val="both"/>
        <w:rPr>
          <w:rFonts w:hint="default" w:ascii="Times New Roman" w:hAnsi="Times New Roman" w:eastAsia="仿宋_GB2312" w:cs="Times New Roman"/>
          <w:spacing w:val="-3"/>
          <w:sz w:val="28"/>
          <w:szCs w:val="28"/>
        </w:rPr>
      </w:pPr>
      <w:r>
        <w:rPr>
          <w:rFonts w:hint="default" w:ascii="Times New Roman" w:hAnsi="Times New Roman" w:eastAsia="仿宋_GB2312" w:cs="Times New Roman"/>
          <w:spacing w:val="-3"/>
          <w:sz w:val="28"/>
          <w:szCs w:val="28"/>
        </w:rPr>
        <w:t xml:space="preserve">   </w:t>
      </w:r>
      <w:r>
        <w:rPr>
          <w:rFonts w:hint="default" w:ascii="Times New Roman" w:hAnsi="Times New Roman" w:eastAsia="仿宋_GB2312" w:cs="Times New Roman"/>
          <w:spacing w:val="-1"/>
          <w:sz w:val="28"/>
          <w:szCs w:val="28"/>
        </w:rPr>
        <w:t xml:space="preserve">     </w:t>
      </w:r>
      <w:r>
        <w:rPr>
          <w:rFonts w:hint="default" w:ascii="Times New Roman" w:hAnsi="Times New Roman" w:eastAsia="仿宋_GB2312" w:cs="Times New Roman"/>
          <w:spacing w:val="-3"/>
          <w:sz w:val="28"/>
          <w:szCs w:val="28"/>
        </w:rPr>
        <w:t>区检察院。</w:t>
      </w:r>
    </w:p>
    <w:p>
      <w:pPr>
        <w:pStyle w:val="25"/>
        <w:spacing w:line="34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pacing w:val="-16"/>
          <w:sz w:val="30"/>
        </w:rPr>
        <w:t>———————————————————————————————</w:t>
      </w:r>
    </w:p>
    <w:p>
      <w:pPr>
        <w:pStyle w:val="33"/>
        <w:spacing w:line="340" w:lineRule="exact"/>
        <w:ind w:firstLine="280" w:firstLineChars="1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周村区人民政府办公室                   2024年</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日印发</w:t>
      </w:r>
    </w:p>
    <w:p>
      <w:pPr>
        <w:pStyle w:val="33"/>
        <w:spacing w:line="34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pacing w:val="-16"/>
          <w:sz w:val="30"/>
        </w:rPr>
        <w:t>———————————————————————————————</w:t>
      </w:r>
    </w:p>
    <w:sectPr>
      <w:headerReference r:id="rId3" w:type="first"/>
      <w:footerReference r:id="rId5" w:type="first"/>
      <w:footerReference r:id="rId4" w:type="default"/>
      <w:pgSz w:w="11906" w:h="16838"/>
      <w:pgMar w:top="2041" w:right="1531" w:bottom="1701" w:left="1531"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AFF" w:usb1="C0007843" w:usb2="00000009" w:usb3="00000000" w:csb0="400001FF" w:csb1="FFFF0000"/>
  </w:font>
  <w:font w:name="微软雅黑">
    <w:altName w:val="黑体"/>
    <w:panose1 w:val="020B0503020204020204"/>
    <w:charset w:val="00"/>
    <w:family w:val="swiss"/>
    <w:pitch w:val="default"/>
    <w:sig w:usb0="80000287" w:usb1="280F3C52" w:usb2="00000016" w:usb3="00000000" w:csb0="0004001F" w:csb1="00000000"/>
  </w:font>
  <w:font w:name="华文中宋">
    <w:altName w:val="汉仪中宋简"/>
    <w:panose1 w:val="02010600040101010101"/>
    <w:charset w:val="00"/>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idowControl w:val="0"/>
      <w:pBdr>
        <w:between w:val="none" w:color="auto" w:sz="50" w:space="0"/>
      </w:pBdr>
      <w:snapToGrid w:val="0"/>
      <w:jc w:val="left"/>
      <w:rPr>
        <w:rFonts w:ascii="Times New Roman" w:hAnsi="Times New Roman"/>
        <w:sz w:val="28"/>
      </w:rPr>
    </w:pPr>
    <w:r>
      <w:rPr>
        <w:rStyle w:val="8"/>
        <w:rFonts w:ascii="Times New Roman" w:hAnsi="Times New Roman"/>
        <w:color w:val="FFFFFF"/>
        <w:sz w:val="28"/>
      </w:rPr>
      <w:t>—</w:t>
    </w:r>
    <w:r>
      <w:rPr>
        <w:rStyle w:val="8"/>
        <w:rFonts w:ascii="Times New Roman" w:hAnsi="Times New Roman"/>
        <w:color w:val="auto"/>
        <w:sz w:val="28"/>
      </w:rPr>
      <w:t xml:space="preserve">—  </w:t>
    </w:r>
    <w:r>
      <w:rPr>
        <w:rFonts w:ascii="Times New Roman" w:hAnsi="Times New Roman"/>
        <w:color w:val="auto"/>
        <w:sz w:val="28"/>
      </w:rPr>
      <w:fldChar w:fldCharType="begin"/>
    </w:r>
    <w:r>
      <w:rPr>
        <w:rStyle w:val="8"/>
        <w:rFonts w:ascii="Times New Roman" w:hAnsi="Times New Roman"/>
        <w:color w:val="auto"/>
        <w:sz w:val="28"/>
      </w:rPr>
      <w:instrText xml:space="preserve"> PAGE  </w:instrText>
    </w:r>
    <w:r>
      <w:rPr>
        <w:rFonts w:ascii="Times New Roman" w:hAnsi="Times New Roman"/>
        <w:color w:val="auto"/>
        <w:sz w:val="28"/>
      </w:rPr>
      <w:fldChar w:fldCharType="separate"/>
    </w:r>
    <w:r>
      <w:rPr>
        <w:rStyle w:val="8"/>
        <w:rFonts w:ascii="Times New Roman" w:hAnsi="Times New Roman"/>
        <w:color w:val="auto"/>
        <w:sz w:val="28"/>
      </w:rPr>
      <w:t>1</w:t>
    </w:r>
    <w:r>
      <w:rPr>
        <w:rFonts w:ascii="Times New Roman" w:hAnsi="Times New Roman"/>
        <w:color w:val="auto"/>
        <w:sz w:val="28"/>
      </w:rPr>
      <w:fldChar w:fldCharType="end"/>
    </w:r>
    <w:r>
      <w:rPr>
        <w:rStyle w:val="8"/>
        <w:rFonts w:ascii="Times New Roman" w:hAnsi="Times New Roman"/>
        <w:color w:val="auto"/>
        <w:sz w:val="28"/>
      </w:rPr>
      <w:t xml:space="preserve">  —</w:t>
    </w:r>
    <w:r>
      <w:rPr>
        <w:rStyle w:val="8"/>
        <w:rFonts w:ascii="Times New Roman" w:hAnsi="Times New Roman"/>
        <w:color w:val="FFFFFF"/>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pPr>
    <w:r>
      <w:fldChar w:fldCharType="begin"/>
    </w:r>
    <w:r>
      <w:rPr>
        <w:rStyle w:val="8"/>
      </w:rPr>
      <w:instrText xml:space="preserve"> PAGE  </w:instrText>
    </w:r>
    <w:r>
      <w:fldChar w:fldCharType="separate"/>
    </w:r>
    <w:r>
      <w:rPr>
        <w:rStyle w:val="8"/>
      </w:rPr>
      <w:t>8</w:t>
    </w:r>
    <w:r>
      <w:fldChar w:fldCharType="end"/>
    </w:r>
  </w:p>
  <w:p>
    <w:pPr>
      <w:pStyle w:val="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E6EB9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link w:val="7"/>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iPriority w:val="0"/>
  </w:style>
  <w:style w:type="paragraph" w:customStyle="1" w:styleId="7">
    <w:name w:val="Char3"/>
    <w:basedOn w:val="1"/>
    <w:link w:val="6"/>
    <w:uiPriority w:val="0"/>
    <w:pPr>
      <w:widowControl/>
      <w:spacing w:after="160" w:afterLines="0" w:line="240" w:lineRule="exact"/>
      <w:jc w:val="left"/>
    </w:pPr>
  </w:style>
  <w:style w:type="character" w:styleId="8">
    <w:name w:val="page number"/>
    <w:basedOn w:val="6"/>
    <w:uiPriority w:val="0"/>
  </w:style>
  <w:style w:type="character" w:customStyle="1" w:styleId="9">
    <w:name w:val="page number"/>
    <w:basedOn w:val="6"/>
    <w:uiPriority w:val="0"/>
  </w:style>
  <w:style w:type="paragraph" w:customStyle="1" w:styleId="10">
    <w:name w:val="正文 New New New New New New New New New New New New"/>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customStyle="1" w:styleId="11">
    <w:name w:val="正文 New New New New New New New New New New"/>
    <w:uiPriority w:val="0"/>
    <w:pPr>
      <w:widowControl w:val="0"/>
      <w:jc w:val="both"/>
    </w:pPr>
    <w:rPr>
      <w:kern w:val="2"/>
      <w:sz w:val="21"/>
      <w:szCs w:val="22"/>
      <w:lang w:val="en-US" w:eastAsia="zh-CN" w:bidi="ar-SA"/>
    </w:rPr>
  </w:style>
  <w:style w:type="paragraph" w:customStyle="1" w:styleId="12">
    <w:name w:val="页脚 New New New New New New New New New"/>
    <w:basedOn w:val="11"/>
    <w:uiPriority w:val="0"/>
    <w:pPr>
      <w:tabs>
        <w:tab w:val="center" w:pos="4153"/>
        <w:tab w:val="right" w:pos="8306"/>
      </w:tabs>
      <w:snapToGrid w:val="0"/>
      <w:jc w:val="left"/>
    </w:pPr>
    <w:rPr>
      <w:kern w:val="2"/>
      <w:sz w:val="18"/>
      <w:szCs w:val="18"/>
    </w:rPr>
  </w:style>
  <w:style w:type="paragraph" w:customStyle="1" w:styleId="13">
    <w:name w:val="正文 New New New New New New New New New"/>
    <w:uiPriority w:val="0"/>
    <w:pPr>
      <w:widowControl w:val="0"/>
      <w:jc w:val="both"/>
    </w:pPr>
    <w:rPr>
      <w:kern w:val="2"/>
      <w:sz w:val="21"/>
      <w:szCs w:val="22"/>
      <w:lang w:val="en-US" w:eastAsia="zh-CN" w:bidi="ar-SA"/>
    </w:rPr>
  </w:style>
  <w:style w:type="paragraph" w:customStyle="1" w:styleId="14">
    <w:name w:val="正文 New New New New New New New New"/>
    <w:uiPriority w:val="0"/>
    <w:pPr>
      <w:widowControl w:val="0"/>
      <w:jc w:val="both"/>
    </w:pPr>
    <w:rPr>
      <w:kern w:val="2"/>
      <w:sz w:val="21"/>
      <w:szCs w:val="22"/>
      <w:lang w:val="en-US" w:eastAsia="zh-CN" w:bidi="ar-SA"/>
    </w:rPr>
  </w:style>
  <w:style w:type="paragraph" w:customStyle="1" w:styleId="15">
    <w:name w:val="页脚 New New New New New New New New"/>
    <w:basedOn w:val="13"/>
    <w:uiPriority w:val="0"/>
    <w:pPr>
      <w:tabs>
        <w:tab w:val="center" w:pos="4153"/>
        <w:tab w:val="right" w:pos="8306"/>
      </w:tabs>
      <w:snapToGrid w:val="0"/>
      <w:jc w:val="left"/>
    </w:pPr>
    <w:rPr>
      <w:kern w:val="2"/>
      <w:sz w:val="18"/>
      <w:szCs w:val="18"/>
    </w:rPr>
  </w:style>
  <w:style w:type="paragraph" w:customStyle="1" w:styleId="16">
    <w:name w:val="正文 New New New New New New New"/>
    <w:uiPriority w:val="0"/>
    <w:pPr>
      <w:widowControl w:val="0"/>
      <w:jc w:val="both"/>
    </w:pPr>
    <w:rPr>
      <w:kern w:val="2"/>
      <w:sz w:val="21"/>
      <w:szCs w:val="22"/>
      <w:lang w:val="en-US" w:eastAsia="zh-CN" w:bidi="ar-SA"/>
    </w:rPr>
  </w:style>
  <w:style w:type="paragraph" w:customStyle="1" w:styleId="17">
    <w:name w:val="正文 New"/>
    <w:uiPriority w:val="0"/>
    <w:pPr>
      <w:widowControl w:val="0"/>
      <w:jc w:val="both"/>
    </w:pPr>
    <w:rPr>
      <w:kern w:val="2"/>
      <w:sz w:val="21"/>
      <w:szCs w:val="24"/>
      <w:lang w:val="en-US" w:eastAsia="zh-CN" w:bidi="ar-SA"/>
    </w:rPr>
  </w:style>
  <w:style w:type="paragraph" w:customStyle="1" w:styleId="18">
    <w:name w:val="正文 New New New"/>
    <w:uiPriority w:val="0"/>
    <w:pPr>
      <w:widowControl w:val="0"/>
      <w:jc w:val="both"/>
    </w:pPr>
    <w:rPr>
      <w:kern w:val="2"/>
      <w:sz w:val="21"/>
      <w:szCs w:val="22"/>
      <w:lang w:val="en-US" w:eastAsia="zh-CN" w:bidi="ar-SA"/>
    </w:rPr>
  </w:style>
  <w:style w:type="paragraph" w:customStyle="1" w:styleId="19">
    <w:name w:val="页脚 New New New New New New New"/>
    <w:basedOn w:val="14"/>
    <w:uiPriority w:val="0"/>
    <w:pPr>
      <w:tabs>
        <w:tab w:val="center" w:pos="4153"/>
        <w:tab w:val="right" w:pos="8306"/>
      </w:tabs>
      <w:snapToGrid w:val="0"/>
      <w:jc w:val="left"/>
    </w:pPr>
    <w:rPr>
      <w:kern w:val="2"/>
      <w:sz w:val="18"/>
      <w:szCs w:val="18"/>
    </w:rPr>
  </w:style>
  <w:style w:type="paragraph" w:customStyle="1" w:styleId="20">
    <w:name w:val="页脚 New New New New New New"/>
    <w:basedOn w:val="16"/>
    <w:uiPriority w:val="0"/>
    <w:pPr>
      <w:tabs>
        <w:tab w:val="center" w:pos="4153"/>
        <w:tab w:val="right" w:pos="8306"/>
      </w:tabs>
      <w:snapToGrid w:val="0"/>
      <w:jc w:val="left"/>
    </w:pPr>
    <w:rPr>
      <w:kern w:val="2"/>
      <w:sz w:val="18"/>
      <w:szCs w:val="18"/>
    </w:rPr>
  </w:style>
  <w:style w:type="paragraph" w:customStyle="1" w:styleId="21">
    <w:name w:val="页脚 New"/>
    <w:basedOn w:val="17"/>
    <w:uiPriority w:val="0"/>
    <w:pPr>
      <w:tabs>
        <w:tab w:val="center" w:pos="4153"/>
        <w:tab w:val="right" w:pos="8306"/>
      </w:tabs>
      <w:snapToGrid w:val="0"/>
      <w:jc w:val="left"/>
    </w:pPr>
    <w:rPr>
      <w:kern w:val="2"/>
      <w:sz w:val="18"/>
      <w:szCs w:val="18"/>
    </w:rPr>
  </w:style>
  <w:style w:type="paragraph" w:customStyle="1" w:styleId="22">
    <w:name w:val="页眉 New"/>
    <w:basedOn w:val="23"/>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23">
    <w:name w:val="正文 New New New New New"/>
    <w:uiPriority w:val="0"/>
    <w:pPr>
      <w:widowControl w:val="0"/>
      <w:jc w:val="both"/>
    </w:pPr>
    <w:rPr>
      <w:kern w:val="2"/>
      <w:sz w:val="21"/>
      <w:szCs w:val="24"/>
      <w:lang w:val="en-US" w:eastAsia="zh-CN" w:bidi="ar-SA"/>
    </w:rPr>
  </w:style>
  <w:style w:type="paragraph" w:customStyle="1" w:styleId="24">
    <w:name w:val="正文 New New"/>
    <w:uiPriority w:val="0"/>
    <w:pPr>
      <w:widowControl w:val="0"/>
      <w:jc w:val="both"/>
    </w:pPr>
    <w:rPr>
      <w:kern w:val="2"/>
      <w:sz w:val="21"/>
      <w:szCs w:val="24"/>
      <w:lang w:val="en-US" w:eastAsia="zh-CN" w:bidi="ar-SA"/>
    </w:rPr>
  </w:style>
  <w:style w:type="paragraph" w:customStyle="1" w:styleId="25">
    <w:name w:val="正文文本 2 New"/>
    <w:basedOn w:val="23"/>
    <w:uiPriority w:val="0"/>
    <w:pPr>
      <w:jc w:val="center"/>
    </w:pPr>
    <w:rPr>
      <w:rFonts w:ascii="宋体" w:hAnsi="宋体"/>
      <w:sz w:val="70"/>
    </w:rPr>
  </w:style>
  <w:style w:type="paragraph" w:customStyle="1" w:styleId="26">
    <w:name w:val="正文 New New New New"/>
    <w:uiPriority w:val="0"/>
    <w:pPr>
      <w:widowControl w:val="0"/>
      <w:jc w:val="both"/>
    </w:pPr>
    <w:rPr>
      <w:kern w:val="2"/>
      <w:sz w:val="21"/>
      <w:szCs w:val="22"/>
      <w:lang w:val="en-US" w:eastAsia="zh-CN" w:bidi="ar-SA"/>
    </w:rPr>
  </w:style>
  <w:style w:type="paragraph" w:customStyle="1" w:styleId="27">
    <w:name w:val="正文 New New New New New New"/>
    <w:uiPriority w:val="0"/>
    <w:pPr>
      <w:widowControl w:val="0"/>
      <w:jc w:val="both"/>
    </w:pPr>
    <w:rPr>
      <w:rFonts w:ascii="Calibri" w:hAnsi="Calibri" w:eastAsia="宋体" w:cs="Times New Roman"/>
      <w:kern w:val="2"/>
      <w:sz w:val="21"/>
      <w:szCs w:val="24"/>
      <w:lang w:val="en-US" w:eastAsia="zh-CN"/>
    </w:rPr>
  </w:style>
  <w:style w:type="paragraph" w:customStyle="1" w:styleId="28">
    <w:name w:val="Normal (Web)"/>
    <w:uiPriority w:val="0"/>
    <w:pPr>
      <w:spacing w:before="0" w:beforeLines="0" w:beforeAutospacing="0" w:after="0" w:afterLines="0" w:afterAutospacing="0"/>
      <w:ind w:left="0" w:right="0"/>
      <w:jc w:val="left"/>
    </w:pPr>
    <w:rPr>
      <w:kern w:val="0"/>
      <w:sz w:val="24"/>
      <w:lang w:val="en-US" w:eastAsia="zh-CN"/>
    </w:rPr>
  </w:style>
  <w:style w:type="paragraph" w:customStyle="1" w:styleId="29">
    <w:name w:val="p0"/>
    <w:basedOn w:val="26"/>
    <w:uiPriority w:val="0"/>
    <w:pPr>
      <w:widowControl/>
      <w:spacing w:line="365" w:lineRule="atLeast"/>
      <w:ind w:left="1"/>
      <w:textAlignment w:val="bottom"/>
    </w:pPr>
    <w:rPr>
      <w:rFonts w:ascii="Times New Roman" w:hAnsi="Times New Roman"/>
      <w:kern w:val="0"/>
      <w:sz w:val="20"/>
      <w:szCs w:val="20"/>
    </w:rPr>
  </w:style>
  <w:style w:type="paragraph" w:customStyle="1" w:styleId="30">
    <w:name w:val="页脚 New New New New New"/>
    <w:basedOn w:val="23"/>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31">
    <w:name w:val="页脚 New New New New"/>
    <w:basedOn w:val="26"/>
    <w:uiPriority w:val="0"/>
    <w:pPr>
      <w:tabs>
        <w:tab w:val="center" w:pos="4153"/>
        <w:tab w:val="right" w:pos="8306"/>
      </w:tabs>
      <w:snapToGrid w:val="0"/>
      <w:jc w:val="left"/>
    </w:pPr>
    <w:rPr>
      <w:kern w:val="2"/>
      <w:sz w:val="18"/>
      <w:szCs w:val="18"/>
    </w:rPr>
  </w:style>
  <w:style w:type="paragraph" w:customStyle="1" w:styleId="32">
    <w:name w:val="页脚 New New New"/>
    <w:basedOn w:val="18"/>
    <w:uiPriority w:val="0"/>
    <w:pPr>
      <w:tabs>
        <w:tab w:val="center" w:pos="4153"/>
        <w:tab w:val="right" w:pos="8306"/>
      </w:tabs>
      <w:snapToGrid w:val="0"/>
      <w:jc w:val="left"/>
    </w:pPr>
    <w:rPr>
      <w:kern w:val="2"/>
      <w:sz w:val="18"/>
      <w:szCs w:val="18"/>
    </w:rPr>
  </w:style>
  <w:style w:type="paragraph" w:customStyle="1" w:styleId="33">
    <w:name w:val="Body Text 2"/>
    <w:basedOn w:val="1"/>
    <w:uiPriority w:val="0"/>
    <w:pPr>
      <w:jc w:val="center"/>
    </w:pPr>
    <w:rPr>
      <w:rFonts w:ascii="宋体" w:hAnsi="宋体"/>
      <w:sz w:val="70"/>
    </w:rPr>
  </w:style>
  <w:style w:type="paragraph" w:customStyle="1" w:styleId="34">
    <w:name w:val="页脚 New New"/>
    <w:basedOn w:val="24"/>
    <w:uiPriority w:val="0"/>
    <w:pPr>
      <w:tabs>
        <w:tab w:val="center" w:pos="4153"/>
        <w:tab w:val="right" w:pos="8306"/>
      </w:tabs>
      <w:snapToGrid w:val="0"/>
      <w:jc w:val="left"/>
    </w:pPr>
    <w:rPr>
      <w:kern w:val="2"/>
      <w:sz w:val="18"/>
      <w:szCs w:val="18"/>
    </w:rPr>
  </w:style>
  <w:style w:type="paragraph" w:customStyle="1" w:styleId="35">
    <w:name w:val="正文文本 New New"/>
    <w:basedOn w:val="10"/>
    <w:uiPriority w:val="0"/>
    <w:rPr>
      <w:rFonts w:ascii="微软雅黑" w:hAnsi="微软雅黑" w:eastAsia="微软雅黑" w:cs="微软雅黑"/>
      <w:sz w:val="29"/>
      <w:szCs w:val="29"/>
      <w:lang w:val="en-US" w:eastAsia="en-US" w:bidi="ar-SA"/>
    </w:rPr>
  </w:style>
  <w:style w:type="paragraph" w:customStyle="1" w:styleId="36">
    <w:name w:val="正文文本 New"/>
    <w:basedOn w:val="37"/>
    <w:uiPriority w:val="0"/>
    <w:rPr>
      <w:rFonts w:ascii="微软雅黑" w:hAnsi="微软雅黑" w:eastAsia="微软雅黑" w:cs="微软雅黑"/>
      <w:sz w:val="29"/>
      <w:szCs w:val="29"/>
      <w:lang w:val="en-US" w:eastAsia="en-US" w:bidi="ar-SA"/>
    </w:rPr>
  </w:style>
  <w:style w:type="paragraph" w:customStyle="1" w:styleId="37">
    <w:name w:val="正文 New New New New New New New New New New New"/>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333</Words>
  <Characters>1901</Characters>
  <Lines>15</Lines>
  <Paragraphs>4</Paragraphs>
  <TotalTime>0</TotalTime>
  <ScaleCrop>false</ScaleCrop>
  <LinksUpToDate>false</LinksUpToDate>
  <CharactersWithSpaces>2230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2018-05-28T11:01:00Z</dcterms:created>
  <dc:creator>Administrator</dc:creator>
  <cp:lastModifiedBy>独身仙子</cp:lastModifiedBy>
  <cp:lastPrinted>2024-08-26T15:24:48Z</cp:lastPrinted>
  <dcterms:modified xsi:type="dcterms:W3CDTF">2024-08-30T17:18:38Z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6A9C6B37B338495492C87EFB87DE0942</vt:lpwstr>
  </property>
</Properties>
</file>