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华文中宋" w:cs="Times New Roman"/>
          <w:w w:val="52"/>
          <w:sz w:val="80"/>
        </w:rPr>
      </w:pPr>
    </w:p>
    <w:p>
      <w:pPr>
        <w:rPr>
          <w:rFonts w:hint="default" w:ascii="Times New Roman" w:hAnsi="Times New Roman" w:eastAsia="华文中宋" w:cs="Times New Roman"/>
          <w:color w:val="FFFFFF"/>
          <w:sz w:val="32"/>
        </w:rPr>
      </w:pPr>
    </w:p>
    <w:p>
      <w:pPr>
        <w:rPr>
          <w:rFonts w:hint="default" w:ascii="Times New Roman" w:hAnsi="Times New Roman" w:eastAsia="华文中宋" w:cs="Times New Roman"/>
          <w:color w:val="FFFFFF"/>
          <w:sz w:val="32"/>
        </w:rPr>
      </w:pPr>
    </w:p>
    <w:p>
      <w:pPr>
        <w:pStyle w:val="17"/>
        <w:spacing w:line="600" w:lineRule="exact"/>
        <w:ind w:firstLine="608" w:firstLineChars="200"/>
        <w:jc w:val="both"/>
        <w:rPr>
          <w:rFonts w:hint="default" w:ascii="Times New Roman" w:hAnsi="Times New Roman" w:eastAsia="仿宋_GB2312" w:cs="Times New Roman"/>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sz w:val="44"/>
          <w:szCs w:val="44"/>
        </w:rPr>
        <w:t>周村区人民政府办公室</w:t>
      </w:r>
    </w:p>
    <w:p>
      <w:pPr>
        <w:pStyle w:val="59"/>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eastAsia="zh-CN"/>
        </w:rPr>
        <w:t>印发</w:t>
      </w:r>
      <w:r>
        <w:rPr>
          <w:rFonts w:hint="default" w:ascii="Times New Roman" w:hAnsi="Times New Roman" w:eastAsia="方正小标宋简体" w:cs="Times New Roman"/>
          <w:color w:val="000000"/>
          <w:sz w:val="44"/>
          <w:szCs w:val="44"/>
          <w:lang/>
        </w:rPr>
        <w:t>2024</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eastAsia="zh-CN"/>
        </w:rPr>
        <w:t>周村区</w:t>
      </w:r>
      <w:r>
        <w:rPr>
          <w:rFonts w:hint="eastAsia" w:ascii="方正小标宋简体" w:hAnsi="方正小标宋简体" w:eastAsia="方正小标宋简体" w:cs="方正小标宋简体"/>
          <w:color w:val="000000"/>
          <w:sz w:val="44"/>
          <w:szCs w:val="44"/>
        </w:rPr>
        <w:t>政务公开</w:t>
      </w:r>
    </w:p>
    <w:p>
      <w:pPr>
        <w:pStyle w:val="59"/>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color w:val="000000"/>
          <w:sz w:val="44"/>
          <w:szCs w:val="44"/>
        </w:rPr>
        <w:t>工作方案的通知</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周政办字〔202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51"/>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rPr>
          <w:rFonts w:ascii="Times New Roman" w:hAnsi="Times New Roman" w:eastAsia="仿宋_GB2312"/>
          <w:kern w:val="2"/>
          <w:sz w:val="32"/>
          <w:szCs w:val="32"/>
          <w:lang w:eastAsia="zh-CN"/>
        </w:rPr>
      </w:pPr>
      <w:r>
        <w:rPr>
          <w:rFonts w:ascii="Times New Roman" w:hAnsi="Times New Roman" w:eastAsia="仿宋_GB2312"/>
          <w:kern w:val="2"/>
          <w:sz w:val="32"/>
          <w:szCs w:val="32"/>
          <w:lang w:eastAsia="zh-CN"/>
        </w:rPr>
        <w:t>各镇政府、街道办事处，周村经济开发区管委会，区政府各部门，各有关单位：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2024</w:t>
      </w:r>
      <w:r>
        <w:rPr>
          <w:rFonts w:ascii="Times New Roman" w:hAnsi="Times New Roman" w:eastAsia="仿宋_GB2312"/>
          <w:sz w:val="32"/>
          <w:szCs w:val="32"/>
        </w:rPr>
        <w:t>年</w:t>
      </w:r>
      <w:r>
        <w:rPr>
          <w:rFonts w:hint="eastAsia" w:ascii="Times New Roman" w:hAnsi="Times New Roman" w:eastAsia="仿宋_GB2312"/>
          <w:sz w:val="32"/>
          <w:szCs w:val="32"/>
        </w:rPr>
        <w:t>周村区</w:t>
      </w:r>
      <w:r>
        <w:rPr>
          <w:rFonts w:ascii="Times New Roman" w:hAnsi="Times New Roman" w:eastAsia="仿宋_GB2312"/>
          <w:sz w:val="32"/>
          <w:szCs w:val="32"/>
        </w:rPr>
        <w:t>政务公开工作方案》已经</w:t>
      </w:r>
      <w:r>
        <w:rPr>
          <w:rFonts w:hint="eastAsia" w:ascii="Times New Roman" w:hAnsi="Times New Roman" w:eastAsia="仿宋_GB2312"/>
          <w:sz w:val="32"/>
          <w:szCs w:val="32"/>
        </w:rPr>
        <w:t>区</w:t>
      </w:r>
      <w:r>
        <w:rPr>
          <w:rFonts w:ascii="Times New Roman" w:hAnsi="Times New Roman" w:eastAsia="仿宋_GB2312"/>
          <w:sz w:val="32"/>
          <w:szCs w:val="32"/>
        </w:rPr>
        <w:t>政府同意，现印发给你们，请认真抓好贯彻落实。</w:t>
      </w: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035"/>
          <w:tab w:val="left" w:pos="9240"/>
          <w:tab w:val="left" w:pos="10080"/>
          <w:tab w:val="left" w:pos="12180"/>
        </w:tabs>
        <w:kinsoku/>
        <w:wordWrap w:val="0"/>
        <w:overflowPunct/>
        <w:topLinePunct w:val="0"/>
        <w:autoSpaceDE/>
        <w:autoSpaceDN/>
        <w:bidi w:val="0"/>
        <w:adjustRightInd/>
        <w:snapToGrid/>
        <w:spacing w:before="0" w:beforeLines="0" w:after="0" w:afterLines="0" w:line="560" w:lineRule="exact"/>
        <w:ind w:left="0" w:leftChars="0" w:right="823" w:rightChars="392"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周村区人民政府办公室</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1243" w:rightChars="592"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lang/>
        </w:rPr>
      </w:pP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lang/>
        </w:rPr>
      </w:pP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lang/>
        </w:rPr>
      </w:pP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rPr>
      </w:pPr>
      <w:bookmarkStart w:id="0" w:name="_GoBack"/>
      <w:bookmarkEnd w:id="0"/>
      <w:r>
        <w:rPr>
          <w:rFonts w:hint="default" w:ascii="Times New Roman" w:hAnsi="Times New Roman" w:eastAsia="方正小标宋_GBK" w:cs="Times New Roman"/>
          <w:color w:val="000000"/>
          <w:sz w:val="44"/>
          <w:szCs w:val="44"/>
          <w:lang/>
        </w:rPr>
        <w:t>2024</w:t>
      </w:r>
      <w:r>
        <w:rPr>
          <w:rFonts w:hint="default" w:ascii="Times New Roman" w:hAnsi="Times New Roman" w:eastAsia="方正小标宋_GBK" w:cs="Times New Roman"/>
          <w:color w:val="000000"/>
          <w:sz w:val="44"/>
          <w:szCs w:val="44"/>
        </w:rPr>
        <w:t>年</w:t>
      </w:r>
      <w:r>
        <w:rPr>
          <w:rFonts w:hint="default" w:ascii="Times New Roman" w:hAnsi="Times New Roman" w:eastAsia="方正小标宋_GBK" w:cs="Times New Roman"/>
          <w:color w:val="000000"/>
          <w:sz w:val="44"/>
          <w:szCs w:val="44"/>
          <w:lang w:eastAsia="zh-CN"/>
        </w:rPr>
        <w:t>周村区</w:t>
      </w:r>
      <w:r>
        <w:rPr>
          <w:rFonts w:hint="default" w:ascii="Times New Roman" w:hAnsi="Times New Roman" w:eastAsia="方正小标宋_GBK" w:cs="Times New Roman"/>
          <w:color w:val="000000"/>
          <w:sz w:val="44"/>
          <w:szCs w:val="44"/>
        </w:rPr>
        <w:t>政务公开工作方案</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为深入贯彻落实国家政务公开的决策部署和省</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有关工作要求，推动</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政务公开工作扎实有效开展，制定本方案。</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坚持以习近平新时代中国特色社会主义思想为指导，全面贯彻落实党的二十大精神，准确把握新时代政务公开新形势、新要求，紧紧围绕</w:t>
      </w:r>
      <w:r>
        <w:rPr>
          <w:rFonts w:hint="default" w:ascii="Times New Roman" w:hAnsi="Times New Roman" w:eastAsia="仿宋_GB2312" w:cs="Times New Roman"/>
          <w:sz w:val="32"/>
          <w:szCs w:val="32"/>
          <w:lang w:eastAsia="zh-CN"/>
        </w:rPr>
        <w:t>区委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区政府</w:t>
      </w:r>
      <w:r>
        <w:rPr>
          <w:rFonts w:hint="default" w:ascii="Times New Roman" w:hAnsi="Times New Roman" w:eastAsia="仿宋_GB2312" w:cs="Times New Roman"/>
          <w:sz w:val="32"/>
          <w:szCs w:val="32"/>
        </w:rPr>
        <w:t>中心工作，统筹政务公开与安全保密，更好发挥以公开促落实、优服务、强监管作用，助力</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经济社会高质量发展，为实现“126”发展目标，建设“强富美优、品质活力”幸福周村贡献力量。</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任务</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（一）以政务公开助推重点工作落实</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助推高水平开放、高质量招商引资方面：</w:t>
      </w:r>
      <w:r>
        <w:rPr>
          <w:rFonts w:hint="default" w:ascii="Times New Roman" w:hAnsi="Times New Roman" w:eastAsia="仿宋_GB2312" w:cs="Times New Roman"/>
          <w:sz w:val="32"/>
          <w:szCs w:val="32"/>
        </w:rPr>
        <w:t>重点做好扩大有效投资、促进招商引资、高水平对外开放、支持民间投资发展等政策措施以及新能源汽车、绿色智能家电、特色医疗、健康养老、体育赛事、文娱旅游、住房改善等领域消费支持政策公开，促进经济巩固向好，加快绿色低碳高质量发展。</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助推社会治理精细化方面：</w:t>
      </w:r>
      <w:r>
        <w:rPr>
          <w:rFonts w:hint="default" w:ascii="Times New Roman" w:hAnsi="Times New Roman" w:eastAsia="仿宋_GB2312" w:cs="Times New Roman"/>
          <w:sz w:val="32"/>
          <w:szCs w:val="32"/>
        </w:rPr>
        <w:t>重点做好</w:t>
      </w:r>
      <w:r>
        <w:rPr>
          <w:rFonts w:hint="default" w:ascii="Times New Roman" w:hAnsi="Times New Roman" w:eastAsia="仿宋_GB2312" w:cs="Times New Roman"/>
          <w:sz w:val="32"/>
          <w:szCs w:val="32"/>
          <w:lang w:eastAsia="zh-CN"/>
        </w:rPr>
        <w:t>城区更新</w:t>
      </w:r>
      <w:r>
        <w:rPr>
          <w:rFonts w:hint="default" w:ascii="Times New Roman" w:hAnsi="Times New Roman" w:eastAsia="仿宋_GB2312" w:cs="Times New Roman"/>
          <w:sz w:val="32"/>
          <w:szCs w:val="32"/>
        </w:rPr>
        <w:t>、乡村振兴、生态环境保护、生活垃圾分类、农资补助发放、土地及房屋征收补偿安置等领域的信息公开，加强对小微权力运行的监督，推动社会治理精细化。</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助推人民群众生活品质提高方面：</w:t>
      </w:r>
      <w:r>
        <w:rPr>
          <w:rFonts w:hint="default" w:ascii="Times New Roman" w:hAnsi="Times New Roman" w:eastAsia="仿宋_GB2312" w:cs="Times New Roman"/>
          <w:sz w:val="32"/>
          <w:szCs w:val="32"/>
        </w:rPr>
        <w:t>重点做好稳就业促增收、大规模设备更新和消费品以旧换新、医疗卫生服务能力提升、重大疾病和传染病防控、住房保障、教育、养老托育、社会救助等领域的信息公开，满足人民群众知情权，增强人民群众的获得感和认同感。</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助推监管效能提升方面：</w:t>
      </w:r>
      <w:r>
        <w:rPr>
          <w:rFonts w:hint="default" w:ascii="Times New Roman" w:hAnsi="Times New Roman" w:eastAsia="仿宋_GB2312" w:cs="Times New Roman"/>
          <w:sz w:val="32"/>
          <w:szCs w:val="32"/>
        </w:rPr>
        <w:t>重点做好机构改革后部门职能和权责清单的调整以及行政执法公示、行政事业性收费、政府性基金目录、公共资源配置、公共企事业单位、市场监管制度规则和标准等领域的信息公开，明确监管职责，提高监管透明度。</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（二）做好政策公开与解读回应</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政府文件库建设及集中公开工作，要根据立改废情况对已公开政策进行动态更新，以公开的准确性保障执行的准确性。强化政策集成供给，选取部分企业群众关注度高、办事需求大、政策体量大的领域</w:t>
      </w:r>
      <w:r>
        <w:rPr>
          <w:rFonts w:hint="eastAsia" w:ascii="Times New Roman" w:hAnsi="Times New Roman" w:eastAsia="仿宋_GB2312" w:cs="Times New Roman"/>
          <w:sz w:val="32"/>
          <w:szCs w:val="32"/>
          <w:lang w:eastAsia="zh-CN"/>
        </w:rPr>
        <w:t>，实施的政策</w:t>
      </w:r>
      <w:r>
        <w:rPr>
          <w:rFonts w:hint="default" w:ascii="Times New Roman" w:hAnsi="Times New Roman" w:eastAsia="仿宋_GB2312" w:cs="Times New Roman"/>
          <w:sz w:val="32"/>
          <w:szCs w:val="32"/>
        </w:rPr>
        <w:t>集成式发布和一站式公开，最大限度利企便民。探索运用大数据、人工智能等信息技术优化政策“点对点”推送，确保政策直达基层、直达企业、直达群众。</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扩大有效需求、培育和发展新质生产力、数字经济、重点改革、高水平开放、高质量招商引资、乡村振兴、新型城镇化建设、降碳减污扩绿、保障改善民生等，深入开展政策解读，加速释放政策红利。要丰富解读形式、提升解读效果，让企业群众看得懂、用得上。</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（三）深化政民互动与公众参与</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严格履行重大决策公众参与程序，进一步完善意见征集、采纳、反馈等工作机制。制定涉企政策时要主动听取相关企业、行业协会商会的意见。探索建立政务公开监督员制度，继续推进邀请</w:t>
      </w:r>
      <w:r>
        <w:rPr>
          <w:rFonts w:hint="default" w:ascii="Times New Roman" w:hAnsi="Times New Roman" w:eastAsia="仿宋_GB2312" w:cs="Times New Roman"/>
          <w:sz w:val="32"/>
          <w:szCs w:val="32"/>
          <w:lang w:eastAsia="zh-CN"/>
        </w:rPr>
        <w:t>人大代表、政协委员</w:t>
      </w:r>
      <w:r>
        <w:rPr>
          <w:rFonts w:hint="default" w:ascii="Times New Roman" w:hAnsi="Times New Roman" w:eastAsia="仿宋_GB2312" w:cs="Times New Roman"/>
          <w:sz w:val="32"/>
          <w:szCs w:val="32"/>
        </w:rPr>
        <w:t>等列席政府有</w:t>
      </w:r>
      <w:r>
        <w:rPr>
          <w:rFonts w:hint="default" w:ascii="Times New Roman" w:hAnsi="Times New Roman" w:eastAsia="仿宋_GB2312" w:cs="Times New Roman"/>
          <w:sz w:val="32"/>
          <w:szCs w:val="32"/>
          <w:lang w:eastAsia="zh-CN"/>
        </w:rPr>
        <w:t>关</w:t>
      </w:r>
      <w:r>
        <w:rPr>
          <w:rFonts w:hint="default" w:ascii="Times New Roman" w:hAnsi="Times New Roman" w:eastAsia="仿宋_GB2312" w:cs="Times New Roman"/>
          <w:sz w:val="32"/>
          <w:szCs w:val="32"/>
        </w:rPr>
        <w:t>会议工作。列席代表的意见发表和采纳情况向社会公开。常态化开展政策评价，评价结果和运用情况向社会公开。</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单位特别是与宏观经济和民生关系密切的部门单位要通过多种形式常态化开展政府开放活动，让公众了解政府工作，反映意见诉求。鼓励以公开征集意见的方式确定活动主题。政务公开工作主管部门要加强对政府开放活动的调度统筹。</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（四）提升依申请公开办理质效</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畅通政府信息公开申请渠道，规范办理流程，提升答复质量，主动与申请人沟通，推动申请人合理诉求实质性解决。围绕征地拆迁、国土空间规划、社会保障等企业群众高度关注领域，推动申请较为集中的政府信息向主动公开转化。对影响面广、敏感度高的申请，要加强会商，妥善处理。开展依申请公开工作暗访检查，对存在的问题进行点评反馈，不断规范受理、答复行为。加强对信息公开复议、诉讼案件特别是败诉案件的分析研究，掌握成案及败诉原因，采取针对性措施加以改进。</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（五）完善主动公开事项目录体系</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以正在执行的主动公开基本目录和各领域基层政务公开事项标准目录为基础，全面梳理法律、法规、规章中关于主动公开信息的规定，逐项明确公开主体、内容、时限、方式、渠道、责任等要素，编制</w:t>
      </w:r>
      <w:r>
        <w:rPr>
          <w:rFonts w:hint="default" w:ascii="Times New Roman" w:hAnsi="Times New Roman" w:eastAsia="仿宋_GB2312" w:cs="Times New Roman"/>
          <w:sz w:val="32"/>
          <w:szCs w:val="32"/>
          <w:lang w:eastAsia="zh-CN"/>
        </w:rPr>
        <w:t>各级各有关部门单位</w:t>
      </w:r>
      <w:r>
        <w:rPr>
          <w:rFonts w:hint="default" w:ascii="Times New Roman" w:hAnsi="Times New Roman" w:eastAsia="仿宋_GB2312" w:cs="Times New Roman"/>
          <w:sz w:val="32"/>
          <w:szCs w:val="32"/>
        </w:rPr>
        <w:t>主动公开事项目录，做到法定公开事项公开到位，其他事项审慎主动公开。主动公开事项目录编制完成后，原有主动公开基本目录不再保留。全力抓好主动公开事项目录落实，同步调整政府网站栏目，完善其他公开渠道，确保事项目录要求与实际公开内容一致。目录编制及落实工作按照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专门部署压茬进行。</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（六）拓展优化公开平台</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出政府网站信息发布、解读回应、办事服务、互动交流等功能，构建政府网站为主、其他发布渠道为辅的公开平台。推动12345政务服务便民热线与政务服务平台、政府网站互动交流系统、政务新媒体等互联互通，共享共用政策业务咨询问答知识库。强化政府网站和政务新媒体管理，在公开前明确各类信息的公开时限，建立健全对已公开信息的管理制度。更好统筹政务公开和安全保密，依法对拟公开信息进行保密审查，防止国家秘密、工作秘密和敏感信息泄露。以提升服务效能为目的，对现有政务公开专区进行规范升级，有序开展重要政策现场解读、综合政策咨询、办事流程场景展示等活动，筛选打造一批有特色、有亮点的品牌专区。探索适合基层特点的公开渠道，推动基层政务公开与村（居）务公开衔接协同。</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三、组织领导和工作保障</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lang w:eastAsia="zh-CN"/>
        </w:rPr>
        <w:t>各镇（街道）各部门</w:t>
      </w:r>
      <w:r>
        <w:rPr>
          <w:rFonts w:hint="default" w:ascii="Times New Roman" w:hAnsi="Times New Roman" w:eastAsia="仿宋_GB2312" w:cs="Times New Roman"/>
          <w:sz w:val="32"/>
          <w:szCs w:val="32"/>
        </w:rPr>
        <w:t>单位要加强政务公开队伍建设，配齐配强工作力量，推动业务工作与政务公开深度融合，定期听取政务公开工作汇报并研究解决重点难点问题。对需要多部门、多机构配合的公开任务，要加强协调，形成合力，确保各项工作落实到位。</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（二）全面开展培训。</w:t>
      </w:r>
      <w:r>
        <w:rPr>
          <w:rFonts w:hint="default" w:ascii="Times New Roman" w:hAnsi="Times New Roman" w:eastAsia="仿宋_GB2312" w:cs="Times New Roman"/>
          <w:sz w:val="32"/>
          <w:szCs w:val="32"/>
        </w:rPr>
        <w:t>推动把政务公开法规政策纳入各级领导干部学法、各类公务员培训内容，提升全体政府工作人员公开意识。</w:t>
      </w:r>
      <w:r>
        <w:rPr>
          <w:rFonts w:hint="default" w:ascii="Times New Roman" w:hAnsi="Times New Roman" w:eastAsia="仿宋_GB2312" w:cs="Times New Roman"/>
          <w:sz w:val="32"/>
          <w:szCs w:val="32"/>
          <w:lang w:eastAsia="zh-CN"/>
        </w:rPr>
        <w:t>各镇（街道）</w:t>
      </w:r>
      <w:r>
        <w:rPr>
          <w:rFonts w:hint="default" w:ascii="Times New Roman" w:hAnsi="Times New Roman" w:eastAsia="仿宋_GB2312" w:cs="Times New Roman"/>
          <w:sz w:val="32"/>
          <w:szCs w:val="32"/>
        </w:rPr>
        <w:t>各部门单位年内至少组织一次专门业务培训，推动持续提升公开能力。</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（三）广泛学习交流。</w:t>
      </w:r>
      <w:r>
        <w:rPr>
          <w:rFonts w:hint="default" w:ascii="Times New Roman" w:hAnsi="Times New Roman" w:eastAsia="仿宋_GB2312" w:cs="Times New Roman"/>
          <w:sz w:val="32"/>
          <w:szCs w:val="32"/>
        </w:rPr>
        <w:t>各部门单位要主动对标政务公开先进地区和先进单位，采取走出去、请进来、网上学等多种方式，积极借鉴目录编制、栏目设置、内容维护以及工作推进等方面的经验做法，切实提升政务公开工作水平。要注重总结提炼政务公开工作经验、典型案例，积极宣传推广，充分发挥示范引领作用，营造“互学互鉴、比学赶超”的浓厚氛围。</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（四）强化监督考核。</w:t>
      </w:r>
      <w:r>
        <w:rPr>
          <w:rFonts w:hint="default" w:ascii="Times New Roman" w:hAnsi="Times New Roman" w:eastAsia="仿宋_GB2312" w:cs="Times New Roman"/>
          <w:sz w:val="32"/>
          <w:szCs w:val="32"/>
        </w:rPr>
        <w:t>加强日常监测反馈，组织开展年度考核，增强各部门单位公开主动性，推动政务公开常态化开展。夯实“管业务就要管公开”工作机制，各部门单位在部署安排各项业务工作时，要指导、督促相关部门同步做好相应公开工作。</w:t>
      </w: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各部门单位要对照本方案提出的重点任务，梳理形成工作配档表，实时跟进推动，并将落实情况纳入政府信息公开工作年度报告予以公开，接受社会监督。</w:t>
      </w:r>
    </w:p>
    <w:p>
      <w:pPr>
        <w:pStyle w:val="85"/>
        <w:keepNext w:val="0"/>
        <w:keepLines w:val="0"/>
        <w:pageBreakBefore w:val="0"/>
        <w:widowControl w:val="0"/>
        <w:wordWrap/>
        <w:overflowPunct/>
        <w:topLinePunct w:val="0"/>
        <w:bidi w:val="0"/>
        <w:spacing w:before="0" w:beforeLines="0" w:after="0" w:afterLines="0" w:line="560" w:lineRule="exact"/>
        <w:ind w:left="0" w:leftChars="0" w:right="0" w:rightChars="0" w:firstLine="780" w:firstLineChars="200"/>
        <w:jc w:val="both"/>
        <w:rPr>
          <w:rFonts w:hint="default"/>
        </w:rPr>
      </w:pPr>
    </w:p>
    <w:p>
      <w:pPr>
        <w:pStyle w:val="8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eastAsia="zh-CN"/>
        </w:rPr>
        <w:t>周村区</w:t>
      </w:r>
      <w:r>
        <w:rPr>
          <w:rFonts w:hint="default" w:ascii="Times New Roman" w:hAnsi="Times New Roman" w:eastAsia="仿宋_GB2312" w:cs="Times New Roman"/>
          <w:sz w:val="32"/>
          <w:szCs w:val="32"/>
        </w:rPr>
        <w:t>政务公开重点工作分解</w:t>
      </w:r>
      <w:r>
        <w:rPr>
          <w:rFonts w:hint="default" w:ascii="Times New Roman" w:hAnsi="Times New Roman" w:eastAsia="仿宋_GB2312" w:cs="Times New Roman"/>
          <w:sz w:val="32"/>
          <w:szCs w:val="32"/>
          <w:lang w:eastAsia="zh-CN"/>
        </w:rPr>
        <w:t>表</w:t>
      </w:r>
    </w:p>
    <w:p>
      <w:pPr>
        <w:pStyle w:val="86"/>
        <w:keepNext w:val="0"/>
        <w:keepLines w:val="0"/>
        <w:pageBreakBefore w:val="0"/>
        <w:widowControl w:val="0"/>
        <w:wordWrap/>
        <w:overflowPunct/>
        <w:topLinePunct w:val="0"/>
        <w:bidi w:val="0"/>
        <w:spacing w:before="0" w:beforeLines="0" w:after="0" w:afterLines="0"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政府开放活动计划安排报送表</w:t>
      </w: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cols w:space="720" w:num="1"/>
          <w:docGrid w:linePitch="312" w:charSpace="0"/>
        </w:sectPr>
      </w:pPr>
    </w:p>
    <w:p>
      <w:pPr>
        <w:pStyle w:val="61"/>
        <w:keepNext w:val="0"/>
        <w:keepLines w:val="0"/>
        <w:pageBreakBefore w:val="0"/>
        <w:widowControl w:val="0"/>
        <w:tabs>
          <w:tab w:val="left" w:pos="1100"/>
        </w:tabs>
        <w:kinsoku/>
        <w:wordWrap/>
        <w:overflowPunct/>
        <w:topLinePunct w:val="0"/>
        <w:autoSpaceDE w:val="0"/>
        <w:autoSpaceDN w:val="0"/>
        <w:bidi w:val="0"/>
        <w:adjustRightInd/>
        <w:snapToGrid w:val="0"/>
        <w:spacing w:before="0" w:beforeLines="0" w:after="0" w:afterLines="0" w:line="580" w:lineRule="exact"/>
        <w:ind w:left="0" w:leftChars="0" w:right="-311" w:rightChars="-148" w:firstLine="0" w:firstLineChars="0"/>
        <w:jc w:val="left"/>
        <w:textAlignment w:val="top"/>
        <w:outlineLvl w:val="1"/>
        <w:rPr>
          <w:rFonts w:hint="default" w:ascii="Times New Roman" w:hAnsi="Times New Roman" w:eastAsia="黑体" w:cs="Times New Roman"/>
          <w:spacing w:val="0"/>
          <w:sz w:val="32"/>
          <w:lang w:val="en-US" w:eastAsia="zh-CN"/>
        </w:rPr>
      </w:pPr>
      <w:r>
        <w:rPr>
          <w:rFonts w:hint="default" w:ascii="Times New Roman" w:hAnsi="Times New Roman" w:eastAsia="黑体" w:cs="Times New Roman"/>
          <w:spacing w:val="0"/>
          <w:sz w:val="32"/>
          <w:lang w:val="en-US" w:eastAsia="zh-CN"/>
        </w:rPr>
        <w:t>附件1</w:t>
      </w:r>
    </w:p>
    <w:p>
      <w:pPr>
        <w:pStyle w:val="62"/>
        <w:rPr>
          <w:rFonts w:hint="default"/>
          <w:lang w:val="en-US" w:eastAsia="zh-CN"/>
        </w:rPr>
      </w:pPr>
    </w:p>
    <w:p>
      <w:pPr>
        <w:pStyle w:val="63"/>
        <w:keepNext w:val="0"/>
        <w:keepLines w:val="0"/>
        <w:pageBreakBefore w:val="0"/>
        <w:widowControl/>
        <w:kinsoku w:val="0"/>
        <w:wordWrap/>
        <w:overflowPunct/>
        <w:topLinePunct w:val="0"/>
        <w:autoSpaceDE w:val="0"/>
        <w:autoSpaceDN w:val="0"/>
        <w:bidi w:val="0"/>
        <w:adjustRightInd w:val="0"/>
        <w:snapToGrid w:val="0"/>
        <w:spacing w:before="178" w:beforeLines="0" w:after="0" w:afterLines="0" w:line="580" w:lineRule="exact"/>
        <w:ind w:left="150" w:leftChars="0" w:right="0" w:rightChars="0" w:firstLine="0" w:firstLineChars="0"/>
        <w:jc w:val="center"/>
        <w:textAlignment w:val="baseline"/>
        <w:outlineLvl w:val="1"/>
        <w:rPr>
          <w:rFonts w:hint="default" w:ascii="Times New Roman" w:hAnsi="Times New Roman" w:cs="Times New Roman"/>
          <w:spacing w:val="0"/>
          <w:sz w:val="44"/>
          <w:szCs w:val="44"/>
        </w:rPr>
      </w:pPr>
      <w:r>
        <w:rPr>
          <w:rFonts w:hint="default" w:ascii="Times New Roman" w:hAnsi="Times New Roman" w:cs="Times New Roman"/>
          <w:color w:val="231F20"/>
          <w:spacing w:val="0"/>
          <w:sz w:val="44"/>
          <w:szCs w:val="44"/>
          <w:lang w:val="en-US" w:eastAsia="zh-CN"/>
        </w:rPr>
        <w:t>2024年周村区政务公开重点工作分解表</w:t>
      </w:r>
    </w:p>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00" w:lineRule="exact"/>
        <w:ind w:left="0" w:leftChars="0" w:right="0" w:rightChars="0" w:firstLine="0" w:firstLineChars="0"/>
        <w:jc w:val="left"/>
        <w:textAlignment w:val="baseline"/>
        <w:outlineLvl w:val="9"/>
        <w:rPr>
          <w:rFonts w:hint="default" w:ascii="Times New Roman" w:hAnsi="Times New Roman" w:cs="Times New Roman"/>
        </w:rPr>
      </w:pPr>
    </w:p>
    <w:tbl>
      <w:tblPr>
        <w:tblStyle w:val="21"/>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25"/>
        <w:gridCol w:w="684"/>
        <w:gridCol w:w="1166"/>
        <w:gridCol w:w="7894"/>
        <w:gridCol w:w="278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1" w:hRule="atLeast"/>
          <w:jc w:val="center"/>
        </w:trPr>
        <w:tc>
          <w:tcPr>
            <w:tcW w:w="625" w:type="dxa"/>
            <w:tcBorders>
              <w:top w:val="single" w:color="231F20" w:sz="6" w:space="0"/>
              <w:left w:val="single" w:color="231F20" w:sz="6" w:space="0"/>
            </w:tcBorders>
            <w:noWrap w:val="0"/>
            <w:vAlign w:val="top"/>
          </w:tcPr>
          <w:p>
            <w:pPr>
              <w:pStyle w:val="68"/>
              <w:keepNext w:val="0"/>
              <w:keepLines w:val="0"/>
              <w:pageBreakBefore w:val="0"/>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850" w:type="dxa"/>
            <w:gridSpan w:val="2"/>
            <w:tcBorders>
              <w:top w:val="single" w:color="231F20" w:sz="6" w:space="0"/>
            </w:tcBorders>
            <w:noWrap w:val="0"/>
            <w:vAlign w:val="top"/>
          </w:tcPr>
          <w:p>
            <w:pPr>
              <w:pStyle w:val="68"/>
              <w:keepNext w:val="0"/>
              <w:keepLines w:val="0"/>
              <w:pageBreakBefore w:val="0"/>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94" w:type="dxa"/>
            <w:tcBorders>
              <w:top w:val="single" w:color="231F20" w:sz="6" w:space="0"/>
            </w:tcBorders>
            <w:noWrap w:val="0"/>
            <w:vAlign w:val="top"/>
          </w:tcPr>
          <w:p>
            <w:pPr>
              <w:pStyle w:val="68"/>
              <w:keepNext w:val="0"/>
              <w:keepLines w:val="0"/>
              <w:pageBreakBefore w:val="0"/>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81" w:type="dxa"/>
            <w:tcBorders>
              <w:top w:val="single" w:color="231F20" w:sz="6" w:space="0"/>
              <w:right w:val="single" w:color="231F20" w:sz="6" w:space="0"/>
            </w:tcBorders>
            <w:noWrap w:val="0"/>
            <w:vAlign w:val="top"/>
          </w:tcPr>
          <w:p>
            <w:pPr>
              <w:pStyle w:val="68"/>
              <w:keepNext w:val="0"/>
              <w:keepLines w:val="0"/>
              <w:pageBreakBefore w:val="0"/>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1</w:t>
            </w:r>
          </w:p>
        </w:tc>
        <w:tc>
          <w:tcPr>
            <w:tcW w:w="684" w:type="dxa"/>
            <w:vMerge w:val="restart"/>
            <w:tcBorders>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17"/>
                <w:kern w:val="0"/>
                <w:sz w:val="21"/>
                <w:szCs w:val="21"/>
                <w:highlight w:val="none"/>
                <w:fitText w:val="3150" w:id="-1226836484"/>
                <w:lang w:val="en-US" w:eastAsia="zh-CN"/>
              </w:rPr>
              <w:t>以政务公开助推重点工作落</w:t>
            </w:r>
            <w:r>
              <w:rPr>
                <w:rFonts w:hint="default" w:ascii="Times New Roman" w:hAnsi="Times New Roman" w:eastAsia="仿宋_GB2312" w:cs="Times New Roman"/>
                <w:color w:val="auto"/>
                <w:spacing w:val="6"/>
                <w:kern w:val="0"/>
                <w:sz w:val="21"/>
                <w:szCs w:val="21"/>
                <w:highlight w:val="none"/>
                <w:fitText w:val="3150" w:id="-1226836484"/>
                <w:lang w:val="en-US" w:eastAsia="zh-CN"/>
              </w:rPr>
              <w:t>实</w:t>
            </w:r>
          </w:p>
        </w:tc>
        <w:tc>
          <w:tcPr>
            <w:tcW w:w="1166" w:type="dxa"/>
            <w:vMerge w:val="restart"/>
            <w:tcBorders>
              <w:bottom w:val="nil"/>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以公开助推高水平开放、高质量招商引资</w:t>
            </w: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集成式公开招商引资、招才引智、动能转换、重点产业、支持企业发展等方面政策文件并做好宣传解读</w:t>
            </w:r>
          </w:p>
        </w:tc>
        <w:tc>
          <w:tcPr>
            <w:tcW w:w="2781" w:type="dxa"/>
            <w:tcBorders>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各镇（街道），区政府有关部门单位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4"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2</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continue"/>
            <w:tcBorders>
              <w:top w:val="nil"/>
              <w:bottom w:val="nil"/>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通过召开促进民间投资现场会、印发典型经验案例等多种方式，推广各地促进民间投资的好经验好做法，为民间投资健康发展创造良好氛围</w:t>
            </w:r>
          </w:p>
        </w:tc>
        <w:tc>
          <w:tcPr>
            <w:tcW w:w="2781" w:type="dxa"/>
            <w:tcBorders>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区发展和改革局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8" w:hRule="atLeast"/>
          <w:jc w:val="center"/>
        </w:trPr>
        <w:tc>
          <w:tcPr>
            <w:tcW w:w="625" w:type="dxa"/>
            <w:tcBorders>
              <w:left w:val="single" w:color="231F20" w:sz="6" w:space="0"/>
            </w:tcBorders>
            <w:noWrap w:val="0"/>
            <w:vAlign w:val="center"/>
          </w:tcPr>
          <w:p>
            <w:pPr>
              <w:pStyle w:val="68"/>
              <w:keepNext w:val="0"/>
              <w:keepLines w:val="0"/>
              <w:pageBreakBefore w:val="0"/>
              <w:widowControl w:val="0"/>
              <w:tabs>
                <w:tab w:val="left" w:pos="303"/>
              </w:tabs>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3</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continue"/>
            <w:tcBorders>
              <w:top w:val="nil"/>
              <w:bottom w:val="nil"/>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扎实做好省“促进经济巩固向好、加快绿色低碳高质量发展”系列政策的宣传贯彻</w:t>
            </w:r>
          </w:p>
        </w:tc>
        <w:tc>
          <w:tcPr>
            <w:tcW w:w="2781" w:type="dxa"/>
            <w:tcBorders>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各镇（街道），区发展和改革局、区工业和信息化局等相关部门单位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9"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4</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continue"/>
            <w:tcBorders>
              <w:top w:val="nil"/>
              <w:bottom w:val="nil"/>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全力做好国家重大战略、基础设施、防灾减灾、产业升级、民生保障等领域重大建设项目批准和实施信息公开</w:t>
            </w:r>
          </w:p>
        </w:tc>
        <w:tc>
          <w:tcPr>
            <w:tcW w:w="2781" w:type="dxa"/>
            <w:vMerge w:val="restart"/>
            <w:tcBorders>
              <w:bottom w:val="nil"/>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7"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5</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continue"/>
            <w:tcBorders>
              <w:top w:val="nil"/>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围绕新能源汽车、绿色智能家电、特色医疗、健康养老、体育赛事、文娱旅游、住房改善等领域消费支持政策，做好信息发布和舆论引导工作</w:t>
            </w:r>
          </w:p>
        </w:tc>
        <w:tc>
          <w:tcPr>
            <w:tcW w:w="2781" w:type="dxa"/>
            <w:vMerge w:val="continue"/>
            <w:tcBorders>
              <w:top w:val="nil"/>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rPr>
                <w:rFonts w:hint="default" w:ascii="Times New Roman" w:hAnsi="Times New Roman" w:eastAsia="仿宋_GB2312" w:cs="Times New Roman"/>
                <w:color w:val="auto"/>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7"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6</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restart"/>
            <w:tcBorders>
              <w:bottom w:val="nil"/>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以公开助推社会治理精细化</w:t>
            </w: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做好城市更新及相关配套政策的发布和解读，及时回应群众关切，全面引导公众参与，支持城区更新工作</w:t>
            </w:r>
          </w:p>
        </w:tc>
        <w:tc>
          <w:tcPr>
            <w:tcW w:w="2781" w:type="dxa"/>
            <w:tcBorders>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区住房和城乡建设局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87" w:hRule="atLeast"/>
          <w:jc w:val="center"/>
        </w:trPr>
        <w:tc>
          <w:tcPr>
            <w:tcW w:w="625"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7</w:t>
            </w:r>
          </w:p>
        </w:tc>
        <w:tc>
          <w:tcPr>
            <w:tcW w:w="684" w:type="dxa"/>
            <w:vMerge w:val="continue"/>
            <w:tcBorders>
              <w:top w:val="nil"/>
              <w:bottom w:val="nil"/>
            </w:tcBorders>
            <w:noWrap w:val="0"/>
            <w:textDirection w:val="tbRlV"/>
            <w:vAlign w:val="top"/>
          </w:tcPr>
          <w:p>
            <w:pPr>
              <w:pStyle w:val="68"/>
              <w:keepNext w:val="0"/>
              <w:keepLines w:val="0"/>
              <w:pageBreakBefore w:val="0"/>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sz w:val="21"/>
                <w:szCs w:val="21"/>
              </w:rPr>
            </w:pPr>
          </w:p>
        </w:tc>
        <w:tc>
          <w:tcPr>
            <w:tcW w:w="1166" w:type="dxa"/>
            <w:vMerge w:val="continue"/>
            <w:tcBorders>
              <w:top w:val="nil"/>
              <w:bottom w:val="nil"/>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围绕发展现代农业、宜居宜业和美乡村建设、促进农民增收致富、数字农业、数字乡村等方面，做好乡村振兴信息公开</w:t>
            </w:r>
          </w:p>
        </w:tc>
        <w:tc>
          <w:tcPr>
            <w:tcW w:w="2781" w:type="dxa"/>
            <w:vMerge w:val="restart"/>
            <w:tcBorders>
              <w:bottom w:val="nil"/>
              <w:right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58" w:hRule="atLeast"/>
          <w:jc w:val="center"/>
        </w:trPr>
        <w:tc>
          <w:tcPr>
            <w:tcW w:w="625" w:type="dxa"/>
            <w:tcBorders>
              <w:left w:val="single" w:color="231F20" w:sz="6" w:space="0"/>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8</w:t>
            </w:r>
          </w:p>
        </w:tc>
        <w:tc>
          <w:tcPr>
            <w:tcW w:w="684" w:type="dxa"/>
            <w:vMerge w:val="continue"/>
            <w:tcBorders>
              <w:top w:val="nil"/>
              <w:bottom w:val="single" w:color="231F20" w:sz="6" w:space="0"/>
            </w:tcBorders>
            <w:noWrap w:val="0"/>
            <w:textDirection w:val="tbRlV"/>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1166" w:type="dxa"/>
            <w:vMerge w:val="continue"/>
            <w:tcBorders>
              <w:top w:val="nil"/>
              <w:bottom w:val="single" w:color="231F20" w:sz="6" w:space="0"/>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rPr>
                <w:rFonts w:hint="default" w:ascii="Times New Roman" w:hAnsi="Times New Roman" w:eastAsia="仿宋_GB2312" w:cs="Times New Roman"/>
                <w:color w:val="auto"/>
                <w:spacing w:val="0"/>
                <w:kern w:val="0"/>
                <w:sz w:val="21"/>
                <w:szCs w:val="21"/>
                <w:highlight w:val="none"/>
                <w:lang w:eastAsia="zh-CN"/>
              </w:rPr>
            </w:pPr>
          </w:p>
        </w:tc>
        <w:tc>
          <w:tcPr>
            <w:tcW w:w="7894" w:type="dxa"/>
            <w:tcBorders>
              <w:bottom w:val="single" w:color="231F20" w:sz="6" w:space="0"/>
            </w:tcBorders>
            <w:noWrap w:val="0"/>
            <w:vAlign w:val="center"/>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eastAsia="zh-CN"/>
              </w:rPr>
              <w:t>聚焦乡村产业、乡村建设、乡村治理等关键领域，持续做好重要政策宣传发布</w:t>
            </w:r>
          </w:p>
        </w:tc>
        <w:tc>
          <w:tcPr>
            <w:tcW w:w="2781" w:type="dxa"/>
            <w:vMerge w:val="continue"/>
            <w:tcBorders>
              <w:top w:val="nil"/>
              <w:bottom w:val="single" w:color="231F20" w:sz="6" w:space="0"/>
              <w:right w:val="single" w:color="231F20" w:sz="6" w:space="0"/>
            </w:tcBorders>
            <w:noWrap w:val="0"/>
            <w:vAlign w:val="top"/>
          </w:tcPr>
          <w:p>
            <w:pPr>
              <w:pStyle w:val="97"/>
              <w:keepNext w:val="0"/>
              <w:keepLines w:val="0"/>
              <w:pageBreakBefore w:val="0"/>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rPr>
                <w:rFonts w:hint="default" w:ascii="Times New Roman" w:hAnsi="Times New Roman" w:eastAsia="仿宋_GB2312" w:cs="Times New Roman"/>
                <w:color w:val="auto"/>
                <w:spacing w:val="0"/>
                <w:kern w:val="0"/>
                <w:sz w:val="21"/>
                <w:szCs w:val="21"/>
                <w:highlight w:val="none"/>
                <w:lang w:eastAsia="zh-CN"/>
              </w:rPr>
            </w:pPr>
          </w:p>
        </w:tc>
      </w:tr>
    </w:tbl>
    <w:p>
      <w:pPr>
        <w:pStyle w:val="68"/>
        <w:bidi w:val="0"/>
        <w:rPr>
          <w:rFonts w:hint="default" w:ascii="Times New Roman" w:hAnsi="Times New Roman" w:cs="Times New Roman"/>
        </w:rPr>
        <w:sectPr>
          <w:pgSz w:w="16836" w:h="11905" w:orient="landscape"/>
          <w:pgMar w:top="1531" w:right="2041" w:bottom="1531" w:left="1701" w:header="0" w:footer="1020" w:gutter="0"/>
          <w:paperSrc/>
          <w:pgNumType w:fmt="decimal"/>
          <w:cols w:space="720" w:num="1"/>
          <w:docGrid w:linePitch="312" w:charSpace="0"/>
        </w:sectPr>
      </w:pPr>
    </w:p>
    <w:tbl>
      <w:tblPr>
        <w:tblStyle w:val="21"/>
        <w:tblW w:w="0" w:type="auto"/>
        <w:jc w:val="right"/>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37"/>
        <w:gridCol w:w="671"/>
        <w:gridCol w:w="1166"/>
        <w:gridCol w:w="7849"/>
        <w:gridCol w:w="275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95" w:hRule="atLeast"/>
          <w:jc w:val="right"/>
        </w:trPr>
        <w:tc>
          <w:tcPr>
            <w:tcW w:w="637" w:type="dxa"/>
            <w:tcBorders>
              <w:top w:val="single" w:color="231F20" w:sz="6" w:space="0"/>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837" w:type="dxa"/>
            <w:gridSpan w:val="2"/>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49" w:type="dxa"/>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58" w:type="dxa"/>
            <w:tcBorders>
              <w:top w:val="single" w:color="231F20" w:sz="6" w:space="0"/>
              <w:righ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1"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9</w:t>
            </w:r>
          </w:p>
        </w:tc>
        <w:tc>
          <w:tcPr>
            <w:tcW w:w="671" w:type="dxa"/>
            <w:vMerge w:val="restart"/>
            <w:tcBorders>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以政务公开助推重点工作落实</w:t>
            </w:r>
          </w:p>
        </w:tc>
        <w:tc>
          <w:tcPr>
            <w:tcW w:w="1166"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以公开助推社会治理精细化</w:t>
            </w: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稳步推进重大项目环评审批信息全过程公开</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区生态环境分局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5"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10</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及时发布全域“无废城市”相关工作动态，做好政策宣传引导</w:t>
            </w:r>
          </w:p>
        </w:tc>
        <w:tc>
          <w:tcPr>
            <w:tcW w:w="2758" w:type="dxa"/>
            <w:tcBorders>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区“无废城市”建设工作领导小组</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03"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充分运用各类媒体平台，强化生活垃圾分类宣传，营造良好舆论氛围。持续开展生活垃圾分类进机关、进学校、进企业、进社区、进市场、进乡村等宣传活动，推进垃圾分类宣传教育基地向社会公众开放，提高生活垃圾分类全民知晓率、参与率</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区综合行政执法局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97"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12</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围绕惠农资金补助发放等事项，通过分配结果公示与存档备查相结合的方式，加强对小微权力运行的监督</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8"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13</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以公开助推人民群众生活品质提高</w:t>
            </w: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围绕稳就业促增收，及时更新发布本地区就业创业政策清单，分类梳理面向高校毕业生、困难人员、退役军人等不同群体以及各类经营主体的政策举措</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区财政局、区人力资源和社会保障局、区退役军人事务局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0"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14</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围绕推动大规模设备更新和消费品以旧换新，做好相关政策的宣传引导</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区商务局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66"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15</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加大医疗卫生服务能力提升、乡村卫生服务体系建设、重大疾病和传染病防控、中医药传承创新发展等领域信息公开力度</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区卫生健康局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6"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16</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围绕满足居民刚性和改善性住房需求，做好“认房不认贷”“带押过户”“降低首付”“青年优居计划”等政策措施的宣传普及</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区住房城乡建设局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17</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持续推进义务教育、学前教育、特殊教育、职业教育等方面的信息公开</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区教育和体育局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3"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18</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加强“一老一小”服务保障有关政策推送，重点推送老年助餐、银发经济、养老服务机构建设运营、居民长期护理保险、托育服务供给、孤儿助学工程、“护佑健康”项目等支持政策和措施</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区民政局、区教育和体育局、区卫生健康局、区医疗保障分局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23" w:hRule="atLeast"/>
          <w:jc w:val="right"/>
        </w:trPr>
        <w:tc>
          <w:tcPr>
            <w:tcW w:w="63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19</w:t>
            </w:r>
          </w:p>
        </w:tc>
        <w:tc>
          <w:tcPr>
            <w:tcW w:w="67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动态调整并公开社会救助标准</w:t>
            </w:r>
          </w:p>
        </w:tc>
        <w:tc>
          <w:tcPr>
            <w:tcW w:w="2758"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区民政局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5" w:hRule="atLeast"/>
          <w:jc w:val="right"/>
        </w:trPr>
        <w:tc>
          <w:tcPr>
            <w:tcW w:w="637" w:type="dxa"/>
            <w:tcBorders>
              <w:left w:val="single" w:color="231F20" w:sz="6" w:space="0"/>
              <w:bottom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20</w:t>
            </w:r>
          </w:p>
        </w:tc>
        <w:tc>
          <w:tcPr>
            <w:tcW w:w="671" w:type="dxa"/>
            <w:vMerge w:val="continue"/>
            <w:tcBorders>
              <w:top w:val="nil"/>
              <w:bottom w:val="single" w:color="231F20" w:sz="6" w:space="0"/>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166" w:type="dxa"/>
            <w:vMerge w:val="continue"/>
            <w:tcBorders>
              <w:top w:val="nil"/>
              <w:bottom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9" w:type="dxa"/>
            <w:tcBorders>
              <w:bottom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加大物业、环卫、家政等从业群体社会保障信息公开力度，持续推动外卖骑手、网约车司机等新就业形态职业伤害保障试点工作进展情况公开</w:t>
            </w:r>
          </w:p>
        </w:tc>
        <w:tc>
          <w:tcPr>
            <w:tcW w:w="2758" w:type="dxa"/>
            <w:tcBorders>
              <w:bottom w:val="single" w:color="231F20" w:sz="6" w:space="0"/>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区政府有关部门单位</w:t>
            </w:r>
          </w:p>
        </w:tc>
      </w:tr>
    </w:tbl>
    <w:p/>
    <w:tbl>
      <w:tblPr>
        <w:tblStyle w:val="21"/>
        <w:tblW w:w="0" w:type="auto"/>
        <w:jc w:val="right"/>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4"/>
        <w:gridCol w:w="688"/>
        <w:gridCol w:w="1221"/>
        <w:gridCol w:w="7845"/>
        <w:gridCol w:w="274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9" w:hRule="atLeast"/>
          <w:jc w:val="right"/>
        </w:trPr>
        <w:tc>
          <w:tcPr>
            <w:tcW w:w="584" w:type="dxa"/>
            <w:tcBorders>
              <w:top w:val="single" w:color="231F20" w:sz="6" w:space="0"/>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09" w:type="dxa"/>
            <w:gridSpan w:val="2"/>
            <w:tcBorders>
              <w:top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45" w:type="dxa"/>
            <w:tcBorders>
              <w:top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41" w:type="dxa"/>
            <w:tcBorders>
              <w:top w:val="single" w:color="231F20" w:sz="6" w:space="0"/>
              <w:righ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21</w:t>
            </w:r>
          </w:p>
        </w:tc>
        <w:tc>
          <w:tcPr>
            <w:tcW w:w="688" w:type="dxa"/>
            <w:vMerge w:val="restart"/>
            <w:tcBorders>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以政务公开助推重点工作落实</w:t>
            </w:r>
          </w:p>
        </w:tc>
        <w:tc>
          <w:tcPr>
            <w:tcW w:w="1221" w:type="dxa"/>
            <w:vMerge w:val="restart"/>
            <w:tcBorders>
              <w:bottom w:val="nil"/>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以公开助推监管效能提升</w:t>
            </w:r>
          </w:p>
        </w:tc>
        <w:tc>
          <w:tcPr>
            <w:tcW w:w="7845" w:type="dxa"/>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加强行政机关权力配置信息公开，结合政府机构改革和职能优化，做好政府部门权责清单和机构职能信息的调整公开工作</w:t>
            </w:r>
          </w:p>
        </w:tc>
        <w:tc>
          <w:tcPr>
            <w:tcW w:w="2741" w:type="dxa"/>
            <w:tcBorders>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各镇（街道），区政府有关部门单位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22</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严格落实行政执法公示制度</w:t>
            </w:r>
          </w:p>
        </w:tc>
        <w:tc>
          <w:tcPr>
            <w:tcW w:w="2741" w:type="dxa"/>
            <w:tcBorders>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区司法局牵头，各行政执法主体具体落实</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23</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规范公开行政事业性收费和政府性基金目录</w:t>
            </w:r>
          </w:p>
        </w:tc>
        <w:tc>
          <w:tcPr>
            <w:tcW w:w="2741" w:type="dxa"/>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区财政局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5"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24</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规范公开招投标、公共资源配置等领域政府信息</w:t>
            </w:r>
          </w:p>
        </w:tc>
        <w:tc>
          <w:tcPr>
            <w:tcW w:w="2741" w:type="dxa"/>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区政府有关部门单位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82"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25</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加强市场监管制度规则和标准的更新发布与解读，提高监管透明度</w:t>
            </w:r>
          </w:p>
        </w:tc>
        <w:tc>
          <w:tcPr>
            <w:tcW w:w="2741" w:type="dxa"/>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区市场监督管理局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7"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26</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各行业主管部门要加大对公共企事业单位的监管，推进信息公开与业务工作深度融合</w:t>
            </w:r>
          </w:p>
        </w:tc>
        <w:tc>
          <w:tcPr>
            <w:tcW w:w="2741" w:type="dxa"/>
            <w:vMerge w:val="restart"/>
            <w:tcBorders>
              <w:bottom w:val="nil"/>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区教育和体育局、区住房和城乡建设局、区交通运输局、区水利局、区卫生健康局、区生态环境分局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0"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27</w:t>
            </w:r>
          </w:p>
        </w:tc>
        <w:tc>
          <w:tcPr>
            <w:tcW w:w="688" w:type="dxa"/>
            <w:vMerge w:val="continue"/>
            <w:tcBorders>
              <w:top w:val="nil"/>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针对各领域公共企事业单位线上线下公开平台的不同特点，分别探索制定公开平台建设指南或规范</w:t>
            </w:r>
          </w:p>
        </w:tc>
        <w:tc>
          <w:tcPr>
            <w:tcW w:w="2741" w:type="dxa"/>
            <w:vMerge w:val="continue"/>
            <w:tcBorders>
              <w:top w:val="nil"/>
              <w:bottom w:val="nil"/>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2"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28</w:t>
            </w:r>
          </w:p>
        </w:tc>
        <w:tc>
          <w:tcPr>
            <w:tcW w:w="688" w:type="dxa"/>
            <w:vMerge w:val="continue"/>
            <w:tcBorders>
              <w:top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逐步扩大公共企事业单位信息公开适用领域，探索建立各领域统一的行业性信息公开平台和咨询窗口，科学合理确定公开内容</w:t>
            </w:r>
          </w:p>
        </w:tc>
        <w:tc>
          <w:tcPr>
            <w:tcW w:w="2741" w:type="dxa"/>
            <w:vMerge w:val="continue"/>
            <w:tcBorders>
              <w:top w:val="nil"/>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8"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29</w:t>
            </w:r>
          </w:p>
        </w:tc>
        <w:tc>
          <w:tcPr>
            <w:tcW w:w="688" w:type="dxa"/>
            <w:vMerge w:val="restart"/>
            <w:tcBorders>
              <w:bottom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做好政策公开与解读回应</w:t>
            </w:r>
          </w:p>
        </w:tc>
        <w:tc>
          <w:tcPr>
            <w:tcW w:w="1221" w:type="dxa"/>
            <w:vMerge w:val="restart"/>
            <w:tcBorders>
              <w:bottom w:val="nil"/>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提升政策集中发布质效</w:t>
            </w: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强化政策集成供给，选取部分企业群众关注度高、办事需求大、政策体量大的领域，实施跨层级、跨部门的政策集成式发布和一站式公开，最大限度利企便民</w:t>
            </w:r>
          </w:p>
        </w:tc>
        <w:tc>
          <w:tcPr>
            <w:tcW w:w="2741" w:type="dxa"/>
            <w:vMerge w:val="restart"/>
            <w:tcBorders>
              <w:bottom w:val="nil"/>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9"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30</w:t>
            </w:r>
          </w:p>
        </w:tc>
        <w:tc>
          <w:tcPr>
            <w:tcW w:w="688" w:type="dxa"/>
            <w:vMerge w:val="continue"/>
            <w:tcBorders>
              <w:top w:val="nil"/>
              <w:bottom w:val="nil"/>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探索运用大数据、人工智能等信息技术优化政策“点对点”推送，实现政策场景化展示和精准化、个性化推送，确保政策直达基层、直达企业、直达群众</w:t>
            </w:r>
          </w:p>
        </w:tc>
        <w:tc>
          <w:tcPr>
            <w:tcW w:w="2741" w:type="dxa"/>
            <w:vMerge w:val="continue"/>
            <w:tcBorders>
              <w:top w:val="nil"/>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93"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31</w:t>
            </w:r>
          </w:p>
        </w:tc>
        <w:tc>
          <w:tcPr>
            <w:tcW w:w="688" w:type="dxa"/>
            <w:vMerge w:val="continue"/>
            <w:tcBorders>
              <w:top w:val="nil"/>
              <w:bottom w:val="nil"/>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统筹推进我区政策集中发布窗口建设，强化政府网站政策数据同源管理，提升政策公开质量和效率</w:t>
            </w:r>
          </w:p>
        </w:tc>
        <w:tc>
          <w:tcPr>
            <w:tcW w:w="2741" w:type="dxa"/>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0" w:hRule="atLeast"/>
          <w:jc w:val="right"/>
        </w:trPr>
        <w:tc>
          <w:tcPr>
            <w:tcW w:w="584" w:type="dxa"/>
            <w:tcBorders>
              <w:left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32</w:t>
            </w:r>
          </w:p>
        </w:tc>
        <w:tc>
          <w:tcPr>
            <w:tcW w:w="688" w:type="dxa"/>
            <w:vMerge w:val="continue"/>
            <w:tcBorders>
              <w:top w:val="nil"/>
              <w:bottom w:val="nil"/>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nil"/>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以行政规范性文件为重点，加强已公开政策的信息管理，根据立改废情况动态更新，以公开的准确性保障执行的准确性</w:t>
            </w:r>
          </w:p>
        </w:tc>
        <w:tc>
          <w:tcPr>
            <w:tcW w:w="2741" w:type="dxa"/>
            <w:tcBorders>
              <w:right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8"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33</w:t>
            </w:r>
          </w:p>
        </w:tc>
        <w:tc>
          <w:tcPr>
            <w:tcW w:w="688" w:type="dxa"/>
            <w:vMerge w:val="continue"/>
            <w:tcBorders>
              <w:top w:val="nil"/>
              <w:bottom w:val="single" w:color="231F20" w:sz="6" w:space="0"/>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top w:val="nil"/>
              <w:bottom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加快推进政府公报数字化转型，稳步扩大网络版政府公报适用范围</w:t>
            </w:r>
          </w:p>
        </w:tc>
        <w:tc>
          <w:tcPr>
            <w:tcW w:w="2741" w:type="dxa"/>
            <w:tcBorders>
              <w:bottom w:val="single" w:color="231F20" w:sz="6" w:space="0"/>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区政府办公室</w:t>
            </w:r>
          </w:p>
        </w:tc>
      </w:tr>
    </w:tbl>
    <w:p/>
    <w:tbl>
      <w:tblPr>
        <w:tblStyle w:val="21"/>
        <w:tblW w:w="0" w:type="auto"/>
        <w:jc w:val="right"/>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4"/>
        <w:gridCol w:w="688"/>
        <w:gridCol w:w="1221"/>
        <w:gridCol w:w="7845"/>
        <w:gridCol w:w="274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8" w:hRule="atLeast"/>
          <w:jc w:val="right"/>
        </w:trPr>
        <w:tc>
          <w:tcPr>
            <w:tcW w:w="584" w:type="dxa"/>
            <w:tcBorders>
              <w:top w:val="single" w:color="auto" w:sz="4" w:space="0"/>
              <w:left w:val="single" w:color="auto" w:sz="4" w:space="0"/>
              <w:bottom w:val="single" w:color="auto" w:sz="4" w:space="0"/>
              <w:right w:val="single" w:color="auto" w:sz="4"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45" w:type="dxa"/>
            <w:tcBorders>
              <w:left w:val="single" w:color="auto" w:sz="4" w:space="0"/>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41" w:type="dxa"/>
            <w:tcBorders>
              <w:bottom w:val="single" w:color="231F20" w:sz="6" w:space="0"/>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2" w:hRule="atLeast"/>
          <w:jc w:val="right"/>
        </w:trPr>
        <w:tc>
          <w:tcPr>
            <w:tcW w:w="584" w:type="dxa"/>
            <w:tcBorders>
              <w:top w:val="single" w:color="auto" w:sz="4" w:space="0"/>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lang w:eastAsia="zh-CN"/>
              </w:rPr>
              <w:t>34</w:t>
            </w:r>
          </w:p>
        </w:tc>
        <w:tc>
          <w:tcPr>
            <w:tcW w:w="688" w:type="dxa"/>
            <w:vMerge w:val="restart"/>
            <w:tcBorders>
              <w:top w:val="single" w:color="auto" w:sz="4" w:space="0"/>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做好政策公开与解读回应</w:t>
            </w:r>
          </w:p>
        </w:tc>
        <w:tc>
          <w:tcPr>
            <w:tcW w:w="1221" w:type="dxa"/>
            <w:vMerge w:val="restart"/>
            <w:tcBorders>
              <w:top w:val="single" w:color="auto" w:sz="4"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持续加大政策解读力度</w:t>
            </w: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准确把握政策解读工作重点，聚焦扩大有效需求、培育和发展新质生产力、数字经济发展、重点领域改革、高水平开放、高质量招商引资、乡村振兴、新型城镇化建设、降碳减污扩绿、保障改善民生等方面政策，开展深入解读，加速释放政策红利</w:t>
            </w:r>
          </w:p>
        </w:tc>
        <w:tc>
          <w:tcPr>
            <w:tcW w:w="2741" w:type="dxa"/>
            <w:vMerge w:val="restart"/>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57"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lang w:eastAsia="zh-CN"/>
              </w:rPr>
              <w:t>35</w:t>
            </w:r>
          </w:p>
        </w:tc>
        <w:tc>
          <w:tcPr>
            <w:tcW w:w="688" w:type="dxa"/>
            <w:vMerge w:val="continue"/>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充分收集政府网站、政务服务大厅、12345政务服务便民热线等渠道反映的企业群众诉求，对政策中与企业群众生产生活密切相关的具体条款和事项，进行要点拆分、深度解读和综合指引，不断丰富解读内容，提高解读质量</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8"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36</w:t>
            </w:r>
          </w:p>
        </w:tc>
        <w:tc>
          <w:tcPr>
            <w:tcW w:w="688" w:type="dxa"/>
            <w:vMerge w:val="continue"/>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涉及办事服务的政策性文件，要确保政策解读内容与实际办事要求一致</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2"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37</w:t>
            </w:r>
          </w:p>
        </w:tc>
        <w:tc>
          <w:tcPr>
            <w:tcW w:w="688" w:type="dxa"/>
            <w:vMerge w:val="continue"/>
            <w:tcBorders>
              <w:bottom w:val="single" w:color="231F20" w:sz="6" w:space="0"/>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bottom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充分发挥部门主要负责人、政策参与制定者和熟悉有关业务的专家学者、专业机构从业人员、新闻评论员、媒体记者等作用，综合运用政策吹风会或新闻发布会、媒体互动直播、现场集中宣讲、撰写评论文章等方式多角度全方位开展解读</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8"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38</w:t>
            </w:r>
          </w:p>
        </w:tc>
        <w:tc>
          <w:tcPr>
            <w:tcW w:w="688" w:type="dxa"/>
            <w:vMerge w:val="restart"/>
            <w:tcBorders>
              <w:top w:val="nil"/>
            </w:tcBorders>
            <w:noWrap w:val="0"/>
            <w:textDirection w:val="tbRlV"/>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深化政民互动与公众参与</w:t>
            </w:r>
          </w:p>
        </w:tc>
        <w:tc>
          <w:tcPr>
            <w:tcW w:w="1221" w:type="dxa"/>
            <w:vMerge w:val="restart"/>
            <w:tcBorders>
              <w:top w:val="nil"/>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深化重大决策公众参与</w:t>
            </w: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深入落实重大决策公众参与程序，进一步完善意见征集、采纳、反馈等工作机制</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8"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39</w:t>
            </w:r>
          </w:p>
        </w:tc>
        <w:tc>
          <w:tcPr>
            <w:tcW w:w="688" w:type="dxa"/>
            <w:vMerge w:val="continue"/>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制定涉及重大公共利益的政策，除依法应当保密外，应通过征求意见、听证座谈、实地走访、民意调查等方式扩大公众参与</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8"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40</w:t>
            </w:r>
          </w:p>
        </w:tc>
        <w:tc>
          <w:tcPr>
            <w:tcW w:w="688" w:type="dxa"/>
            <w:vMerge w:val="continue"/>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制定涉企政策要主动听取相关企业、行业协会商会的意见</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9"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41</w:t>
            </w:r>
          </w:p>
        </w:tc>
        <w:tc>
          <w:tcPr>
            <w:tcW w:w="688" w:type="dxa"/>
            <w:vMerge w:val="continue"/>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探索建立政务公开监督员制度，聘请专家学者、公众代表、企业法人、律师、教师、人大代表、政协委员、民主党派人士等作为监督员，积极向政务公开工作机构反馈企业群众的意见建议</w:t>
            </w:r>
          </w:p>
        </w:tc>
        <w:tc>
          <w:tcPr>
            <w:tcW w:w="2741" w:type="dxa"/>
            <w:vMerge w:val="continue"/>
            <w:tcBorders>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20" w:hRule="atLeast"/>
          <w:jc w:val="right"/>
        </w:trPr>
        <w:tc>
          <w:tcPr>
            <w:tcW w:w="584" w:type="dxa"/>
            <w:tcBorders>
              <w:left w:val="single" w:color="231F20" w:sz="6" w:space="0"/>
              <w:bottom w:val="single" w:color="231F20" w:sz="6" w:space="0"/>
            </w:tcBorders>
            <w:noWrap w:val="0"/>
            <w:vAlign w:val="center"/>
          </w:tcPr>
          <w:p>
            <w:pPr>
              <w:pStyle w:val="68"/>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75" w:lineRule="auto"/>
              <w:ind w:left="0" w:leftChars="0" w:right="0" w:rightChars="0" w:firstLine="0" w:firstLineChars="0"/>
              <w:jc w:val="center"/>
              <w:textAlignment w:val="baseline"/>
              <w:rPr>
                <w:rFonts w:hint="default"/>
              </w:rPr>
            </w:pPr>
            <w:r>
              <w:rPr>
                <w:rFonts w:hint="default" w:ascii="Times New Roman" w:hAnsi="Times New Roman" w:eastAsia="仿宋_GB2312" w:cs="Times New Roman"/>
                <w:spacing w:val="0"/>
                <w:sz w:val="21"/>
                <w:szCs w:val="21"/>
                <w:lang w:eastAsia="zh-CN"/>
              </w:rPr>
              <w:t>42</w:t>
            </w:r>
          </w:p>
        </w:tc>
        <w:tc>
          <w:tcPr>
            <w:tcW w:w="688" w:type="dxa"/>
            <w:vMerge w:val="continue"/>
            <w:tcBorders>
              <w:bottom w:val="single" w:color="231F20" w:sz="6" w:space="0"/>
            </w:tcBorders>
            <w:noWrap w:val="0"/>
            <w:textDirection w:val="tbRlV"/>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21" w:type="dxa"/>
            <w:vMerge w:val="continue"/>
            <w:tcBorders>
              <w:bottom w:val="single" w:color="231F20" w:sz="6" w:space="0"/>
            </w:tcBorders>
            <w:noWrap w:val="0"/>
            <w:vAlign w:val="top"/>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225" w:lineRule="auto"/>
              <w:ind w:left="0" w:leftChars="0" w:right="0" w:rightChars="0" w:firstLine="0" w:firstLineChars="0"/>
              <w:jc w:val="both"/>
              <w:textAlignment w:val="baseline"/>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继续推进邀请人大代表、政协委员等列席政府有关会议工作，列席代表的意见发表和采纳情况要向社会公开</w:t>
            </w:r>
          </w:p>
        </w:tc>
        <w:tc>
          <w:tcPr>
            <w:tcW w:w="2741" w:type="dxa"/>
            <w:vMerge w:val="continue"/>
            <w:tcBorders>
              <w:bottom w:val="single" w:color="231F20" w:sz="6" w:space="0"/>
              <w:right w:val="single" w:color="231F20" w:sz="6" w:space="0"/>
            </w:tcBorders>
            <w:noWrap w:val="0"/>
            <w:vAlign w:val="center"/>
          </w:tcPr>
          <w:p>
            <w:pPr>
              <w:pStyle w:val="97"/>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bl>
    <w:p>
      <w:pPr>
        <w:pStyle w:val="97"/>
        <w:spacing w:before="62" w:beforeLines="0" w:line="225" w:lineRule="auto"/>
        <w:ind w:left="129"/>
        <w:jc w:val="left"/>
        <w:rPr>
          <w:rFonts w:hint="default" w:ascii="Times New Roman" w:hAnsi="Times New Roman" w:eastAsia="仿宋_GB2312" w:cs="Times New Roman"/>
          <w:spacing w:val="0"/>
          <w:kern w:val="0"/>
          <w:sz w:val="21"/>
          <w:szCs w:val="21"/>
          <w:highlight w:val="none"/>
          <w:lang w:eastAsia="zh-CN"/>
        </w:rPr>
      </w:pPr>
    </w:p>
    <w:p>
      <w:pPr>
        <w:pStyle w:val="68"/>
        <w:spacing w:before="28" w:beforeLines="0"/>
        <w:jc w:val="left"/>
        <w:rPr>
          <w:rFonts w:hint="default" w:ascii="Times New Roman" w:hAnsi="Times New Roman" w:eastAsia="仿宋_GB2312" w:cs="Times New Roman"/>
          <w:spacing w:val="0"/>
          <w:sz w:val="21"/>
          <w:szCs w:val="21"/>
        </w:rPr>
      </w:pPr>
    </w:p>
    <w:tbl>
      <w:tblPr>
        <w:tblStyle w:val="21"/>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57"/>
        <w:gridCol w:w="689"/>
        <w:gridCol w:w="1236"/>
        <w:gridCol w:w="7850"/>
        <w:gridCol w:w="274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jc w:val="center"/>
        </w:trPr>
        <w:tc>
          <w:tcPr>
            <w:tcW w:w="557" w:type="dxa"/>
            <w:tcBorders>
              <w:top w:val="single" w:color="231F20" w:sz="6" w:space="0"/>
              <w:left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25" w:type="dxa"/>
            <w:gridSpan w:val="2"/>
            <w:tcBorders>
              <w:top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50" w:type="dxa"/>
            <w:tcBorders>
              <w:top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42" w:type="dxa"/>
            <w:tcBorders>
              <w:top w:val="single" w:color="231F20" w:sz="6" w:space="0"/>
              <w:right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before="25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49" w:hRule="atLeast"/>
          <w:jc w:val="center"/>
        </w:trPr>
        <w:tc>
          <w:tcPr>
            <w:tcW w:w="55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43</w:t>
            </w:r>
          </w:p>
        </w:tc>
        <w:tc>
          <w:tcPr>
            <w:tcW w:w="689" w:type="dxa"/>
            <w:vMerge w:val="restart"/>
            <w:tcBorders>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深化政民互动与公众参与</w:t>
            </w:r>
          </w:p>
        </w:tc>
        <w:tc>
          <w:tcPr>
            <w:tcW w:w="1236"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深化重大决策公众参与</w:t>
            </w:r>
          </w:p>
        </w:tc>
        <w:tc>
          <w:tcPr>
            <w:tcW w:w="785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常态化开展政策评价，选取本单位重点政策，进行实施效果评价，全面掌握政策落实情况，制定政策性文件的部门原则上每年至少开展2次专题性政策评价工作。要深入分析政策评价结果，适时转化为调整政策制定的措施，年底前将评价结果和运用情况向社会公开</w:t>
            </w:r>
          </w:p>
        </w:tc>
        <w:tc>
          <w:tcPr>
            <w:tcW w:w="2742"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2"/>
                <w:kern w:val="0"/>
                <w:sz w:val="21"/>
                <w:szCs w:val="21"/>
                <w:highlight w:val="none"/>
                <w:lang w:eastAsia="zh-CN"/>
              </w:rPr>
              <w:t>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858" w:hRule="atLeast"/>
          <w:jc w:val="center"/>
        </w:trPr>
        <w:tc>
          <w:tcPr>
            <w:tcW w:w="55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44</w:t>
            </w:r>
          </w:p>
        </w:tc>
        <w:tc>
          <w:tcPr>
            <w:tcW w:w="689"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36"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增强政民互动交流实效</w:t>
            </w:r>
          </w:p>
        </w:tc>
        <w:tc>
          <w:tcPr>
            <w:tcW w:w="785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通过多种形式常态化开展政府开放活动，让公众了解政府工作，反映意见诉求。鼓励以公开征集意见的方式确定活动主题和场次，推动政府开放活动常态化</w:t>
            </w:r>
          </w:p>
        </w:tc>
        <w:tc>
          <w:tcPr>
            <w:tcW w:w="2742" w:type="dxa"/>
            <w:vMerge w:val="restart"/>
            <w:tcBorders>
              <w:bottom w:val="nil"/>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特别是与宏观经济和民生关系密切的区政府部门（区发展和改革局、区教育和体育局、区科学技术局、区工业和信息化局、区公安分局、区民政局、区财政局、区人力资源和社会保障局、区自然资源局、区住房和城乡建设局、区交通运输局、区水利局、区农业农村局、区商务局、区文化和旅游局、区卫生健康局、区应急管理局、区行政审批服务局、区市场监督管理局、区综合行政执法局、区统计局、区生</w:t>
            </w:r>
            <w:r>
              <w:rPr>
                <w:rFonts w:hint="default" w:ascii="Times New Roman" w:hAnsi="Times New Roman" w:eastAsia="仿宋_GB2312" w:cs="Times New Roman"/>
                <w:spacing w:val="6"/>
                <w:kern w:val="0"/>
                <w:sz w:val="21"/>
                <w:szCs w:val="21"/>
                <w:highlight w:val="none"/>
                <w:lang w:eastAsia="zh-CN"/>
              </w:rPr>
              <w:t>态环境分局、区医疗保障分局）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01" w:hRule="atLeast"/>
          <w:jc w:val="center"/>
        </w:trPr>
        <w:tc>
          <w:tcPr>
            <w:tcW w:w="557"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45</w:t>
            </w:r>
          </w:p>
        </w:tc>
        <w:tc>
          <w:tcPr>
            <w:tcW w:w="689"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36"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5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各部门单位政府开放活动计划安排按附件2要求于</w:t>
            </w:r>
            <w:r>
              <w:rPr>
                <w:rFonts w:hint="eastAsia" w:ascii="Times New Roman" w:hAnsi="Times New Roman" w:eastAsia="仿宋_GB2312" w:cs="Times New Roman"/>
                <w:spacing w:val="0"/>
                <w:kern w:val="0"/>
                <w:sz w:val="21"/>
                <w:szCs w:val="21"/>
                <w:highlight w:val="none"/>
                <w:lang w:val="en-US" w:eastAsia="zh-CN"/>
              </w:rPr>
              <w:t>7</w:t>
            </w:r>
            <w:r>
              <w:rPr>
                <w:rFonts w:hint="default" w:ascii="Times New Roman" w:hAnsi="Times New Roman" w:eastAsia="仿宋_GB2312" w:cs="Times New Roman"/>
                <w:spacing w:val="0"/>
                <w:kern w:val="0"/>
                <w:sz w:val="21"/>
                <w:szCs w:val="21"/>
                <w:highlight w:val="none"/>
                <w:lang w:eastAsia="zh-CN"/>
              </w:rPr>
              <w:t>月</w:t>
            </w:r>
            <w:r>
              <w:rPr>
                <w:rFonts w:hint="eastAsia" w:ascii="Times New Roman" w:hAnsi="Times New Roman" w:eastAsia="仿宋_GB2312" w:cs="Times New Roman"/>
                <w:spacing w:val="0"/>
                <w:kern w:val="0"/>
                <w:sz w:val="21"/>
                <w:szCs w:val="21"/>
                <w:highlight w:val="none"/>
                <w:lang w:val="en-US" w:eastAsia="zh-CN"/>
              </w:rPr>
              <w:t>10</w:t>
            </w:r>
            <w:r>
              <w:rPr>
                <w:rFonts w:hint="default" w:ascii="Times New Roman" w:hAnsi="Times New Roman" w:eastAsia="仿宋_GB2312" w:cs="Times New Roman"/>
                <w:spacing w:val="0"/>
                <w:kern w:val="0"/>
                <w:sz w:val="21"/>
                <w:szCs w:val="21"/>
                <w:highlight w:val="none"/>
                <w:lang w:eastAsia="zh-CN"/>
              </w:rPr>
              <w:t>日前报区政府政务公开办公室备案（本年度已开展政府开放活动的，仅报送活动开展情况）</w:t>
            </w:r>
          </w:p>
        </w:tc>
        <w:tc>
          <w:tcPr>
            <w:tcW w:w="2742" w:type="dxa"/>
            <w:vMerge w:val="continue"/>
            <w:tcBorders>
              <w:top w:val="nil"/>
              <w:bottom w:val="nil"/>
              <w:right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369" w:hRule="atLeast"/>
          <w:jc w:val="center"/>
        </w:trPr>
        <w:tc>
          <w:tcPr>
            <w:tcW w:w="557" w:type="dxa"/>
            <w:tcBorders>
              <w:left w:val="single" w:color="231F20" w:sz="6" w:space="0"/>
              <w:bottom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46</w:t>
            </w:r>
          </w:p>
        </w:tc>
        <w:tc>
          <w:tcPr>
            <w:tcW w:w="689" w:type="dxa"/>
            <w:vMerge w:val="continue"/>
            <w:tcBorders>
              <w:top w:val="nil"/>
              <w:bottom w:val="single" w:color="231F20" w:sz="6" w:space="0"/>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36" w:type="dxa"/>
            <w:vMerge w:val="continue"/>
            <w:tcBorders>
              <w:top w:val="nil"/>
              <w:bottom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50" w:type="dxa"/>
            <w:tcBorders>
              <w:bottom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各部门单位政府开放活动开展情况于活动开展后5个工作日内报区政府政务公开办公室备案</w:t>
            </w:r>
          </w:p>
        </w:tc>
        <w:tc>
          <w:tcPr>
            <w:tcW w:w="2742" w:type="dxa"/>
            <w:vMerge w:val="continue"/>
            <w:tcBorders>
              <w:top w:val="nil"/>
              <w:bottom w:val="single" w:color="231F20" w:sz="6" w:space="0"/>
              <w:right w:val="single" w:color="231F20" w:sz="6" w:space="0"/>
            </w:tcBorders>
            <w:noWrap w:val="0"/>
            <w:vAlign w:val="top"/>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sz w:val="21"/>
                <w:szCs w:val="21"/>
              </w:rPr>
            </w:pPr>
          </w:p>
        </w:tc>
      </w:tr>
    </w:tbl>
    <w:p>
      <w:pPr>
        <w:pStyle w:val="68"/>
        <w:spacing w:before="28" w:beforeLines="0"/>
        <w:jc w:val="left"/>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mc:AlternateContent>
          <mc:Choice Requires="wps">
            <w:drawing>
              <wp:anchor distT="0" distB="0" distL="114300" distR="114300" simplePos="0" relativeHeight="251658240" behindDoc="0" locked="0" layoutInCell="0" allowOverlap="1">
                <wp:simplePos x="0" y="0"/>
                <wp:positionH relativeFrom="page">
                  <wp:posOffset>745490</wp:posOffset>
                </wp:positionH>
                <wp:positionV relativeFrom="page">
                  <wp:posOffset>5960110</wp:posOffset>
                </wp:positionV>
                <wp:extent cx="695325" cy="288925"/>
                <wp:effectExtent l="203200" t="0" r="0" b="0"/>
                <wp:wrapNone/>
                <wp:docPr id="1" name="文本框 12"/>
                <wp:cNvGraphicFramePr/>
                <a:graphic xmlns:a="http://schemas.openxmlformats.org/drawingml/2006/main">
                  <a:graphicData uri="http://schemas.microsoft.com/office/word/2010/wordprocessingShape">
                    <wps:wsp>
                      <wps:cNvSpPr/>
                      <wps:spPr>
                        <a:xfrm rot="5400000">
                          <a:off x="0" y="0"/>
                          <a:ext cx="695325" cy="288925"/>
                        </a:xfrm>
                        <a:prstGeom prst="rect">
                          <a:avLst/>
                        </a:prstGeom>
                        <a:noFill/>
                        <a:ln>
                          <a:noFill/>
                        </a:ln>
                      </wps:spPr>
                      <wps:txbx>
                        <w:txbxContent>
                          <w:p>
                            <w:pPr>
                              <w:pStyle w:val="8"/>
                              <w:spacing w:before="137" w:beforeLines="0" w:line="160" w:lineRule="auto"/>
                              <w:jc w:val="right"/>
                              <w:rPr>
                                <w:sz w:val="26"/>
                                <w:szCs w:val="26"/>
                              </w:rPr>
                            </w:pPr>
                          </w:p>
                        </w:txbxContent>
                      </wps:txbx>
                      <wps:bodyPr vert="horz" wrap="square" lIns="0" tIns="0" rIns="0" bIns="0" upright="false"/>
                    </wps:wsp>
                  </a:graphicData>
                </a:graphic>
              </wp:anchor>
            </w:drawing>
          </mc:Choice>
          <mc:Fallback>
            <w:pict>
              <v:rect id="文本框 12" o:spid="_x0000_s1026" o:spt="1" style="position:absolute;left:0pt;margin-left:58.7pt;margin-top:469.3pt;height:22.75pt;width:54.75pt;mso-position-horizontal-relative:page;mso-position-vertical-relative:page;rotation:5898240f;z-index:251658240;mso-width-relative:page;mso-height-relative:page;" filled="f" stroked="f" coordsize="21600,21600" o:allowincell="f" o:gfxdata="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I3u8X/YAAAACwEAAA8AAAAAAAAAAQAgAAAAOAAAAGRy&#10;cy9kb3ducmV2LnhtbFBLAQIUABQAAAAIAIdO4kB8NJqQtgEAAEYDAAAOAAAAAAAAAAEAIAAAAD0B&#10;AABkcnMvZTJvRG9jLnhtbFBLBQYAAAAABgAGAFkBAABlBQAAAAA=&#10;">
                <v:fill on="f" focussize="0,0"/>
                <v:stroke on="f"/>
                <v:imagedata o:title=""/>
                <o:lock v:ext="edit" aspectratio="f"/>
                <v:textbox inset="0mm,0mm,0mm,0mm">
                  <w:txbxContent>
                    <w:p>
                      <w:pPr>
                        <w:pStyle w:val="8"/>
                        <w:spacing w:before="137" w:beforeLines="0" w:line="160" w:lineRule="auto"/>
                        <w:jc w:val="right"/>
                        <w:rPr>
                          <w:sz w:val="26"/>
                          <w:szCs w:val="26"/>
                        </w:rPr>
                      </w:pPr>
                    </w:p>
                  </w:txbxContent>
                </v:textbox>
              </v:rect>
            </w:pict>
          </mc:Fallback>
        </mc:AlternateContent>
      </w:r>
    </w:p>
    <w:tbl>
      <w:tblPr>
        <w:tblStyle w:val="21"/>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8"/>
        <w:gridCol w:w="700"/>
        <w:gridCol w:w="1230"/>
        <w:gridCol w:w="7845"/>
        <w:gridCol w:w="272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jc w:val="center"/>
        </w:trPr>
        <w:tc>
          <w:tcPr>
            <w:tcW w:w="588" w:type="dxa"/>
            <w:tcBorders>
              <w:top w:val="single" w:color="231F20" w:sz="6" w:space="0"/>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30" w:type="dxa"/>
            <w:gridSpan w:val="2"/>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45" w:type="dxa"/>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22" w:type="dxa"/>
            <w:tcBorders>
              <w:top w:val="single" w:color="231F20" w:sz="6" w:space="0"/>
              <w:righ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31"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47</w:t>
            </w:r>
          </w:p>
        </w:tc>
        <w:tc>
          <w:tcPr>
            <w:tcW w:w="700" w:type="dxa"/>
            <w:vMerge w:val="restart"/>
            <w:tcBorders>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深化政民互动与公众参与</w:t>
            </w:r>
          </w:p>
        </w:tc>
        <w:tc>
          <w:tcPr>
            <w:tcW w:w="1230"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增强政民互动交流实效</w:t>
            </w: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加强对收集意见建议的分析研究，在作出决策时予以考虑，并将吸收采纳情况向社会公开</w:t>
            </w:r>
          </w:p>
        </w:tc>
        <w:tc>
          <w:tcPr>
            <w:tcW w:w="2722" w:type="dxa"/>
            <w:vMerge w:val="restart"/>
            <w:tcBorders>
              <w:bottom w:val="nil"/>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71"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48</w:t>
            </w:r>
          </w:p>
        </w:tc>
        <w:tc>
          <w:tcPr>
            <w:tcW w:w="700" w:type="dxa"/>
            <w:vMerge w:val="continue"/>
            <w:tcBorders>
              <w:top w:val="nil"/>
            </w:tcBorders>
            <w:noWrap w:val="0"/>
            <w:textDirection w:val="tbRlV"/>
            <w:vAlign w:val="center"/>
          </w:tcPr>
          <w:p>
            <w:pPr>
              <w:pStyle w:val="68"/>
              <w:keepNext w:val="0"/>
              <w:keepLines w:val="0"/>
              <w:pageBreakBefore w:val="0"/>
              <w:widowControl/>
              <w:kinsoku w:val="0"/>
              <w:wordWrap/>
              <w:overflowPunct/>
              <w:topLinePunct w:val="0"/>
              <w:autoSpaceDE w:val="0"/>
              <w:autoSpaceDN w:val="0"/>
              <w:bidi w:val="0"/>
              <w:adjustRightInd w:val="0"/>
              <w:snapToGrid w:val="0"/>
              <w:spacing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p>
        </w:tc>
        <w:tc>
          <w:tcPr>
            <w:tcW w:w="1230" w:type="dxa"/>
            <w:vMerge w:val="continue"/>
            <w:tcBorders>
              <w:top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加强领导信箱、在线访谈、网友留言、意见征集、建言献策等互动平台建设，严格落实各渠道办理时限，及时公开公众意见建议采纳情况</w:t>
            </w:r>
          </w:p>
        </w:tc>
        <w:tc>
          <w:tcPr>
            <w:tcW w:w="2722" w:type="dxa"/>
            <w:vMerge w:val="continue"/>
            <w:tcBorders>
              <w:top w:val="nil"/>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12"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1"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49</w:t>
            </w:r>
          </w:p>
        </w:tc>
        <w:tc>
          <w:tcPr>
            <w:tcW w:w="1930" w:type="dxa"/>
            <w:gridSpan w:val="2"/>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提升依申请公开办理质效</w:t>
            </w: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围绕征地拆迁、国土空间规划、社会保障等企业群众高度关注领域，开展专题调研，深入研究分析，推动申请较为集中的政府信息向主动公开转化</w:t>
            </w:r>
          </w:p>
        </w:tc>
        <w:tc>
          <w:tcPr>
            <w:tcW w:w="2722" w:type="dxa"/>
            <w:vMerge w:val="restart"/>
            <w:tcBorders>
              <w:bottom w:val="nil"/>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各镇（街道），区政府有关部门单位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27"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50</w:t>
            </w:r>
          </w:p>
        </w:tc>
        <w:tc>
          <w:tcPr>
            <w:tcW w:w="1930" w:type="dxa"/>
            <w:gridSpan w:val="2"/>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强化温情服务，主动跨前与申请人沟通，做好便民解答、指引和服务，推动申请人合理诉求的实质性解决</w:t>
            </w:r>
          </w:p>
        </w:tc>
        <w:tc>
          <w:tcPr>
            <w:tcW w:w="2722" w:type="dxa"/>
            <w:vMerge w:val="continue"/>
            <w:tcBorders>
              <w:top w:val="nil"/>
              <w:bottom w:val="nil"/>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78"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1"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51</w:t>
            </w:r>
          </w:p>
        </w:tc>
        <w:tc>
          <w:tcPr>
            <w:tcW w:w="1930" w:type="dxa"/>
            <w:gridSpan w:val="2"/>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对依申请公开工作中发现的申请人权利滥用和行政机关未依法行政等问题，加强与有关部门的协调联动，研究制定相关约束转办机制</w:t>
            </w:r>
          </w:p>
        </w:tc>
        <w:tc>
          <w:tcPr>
            <w:tcW w:w="2722" w:type="dxa"/>
            <w:vMerge w:val="continue"/>
            <w:tcBorders>
              <w:top w:val="nil"/>
              <w:bottom w:val="nil"/>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62"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52</w:t>
            </w:r>
          </w:p>
        </w:tc>
        <w:tc>
          <w:tcPr>
            <w:tcW w:w="1930" w:type="dxa"/>
            <w:gridSpan w:val="2"/>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妥善处理依申请公开疑难复杂案件，加强会商，对影响面广、敏感度高的申请，做到早了解、早研究</w:t>
            </w:r>
          </w:p>
        </w:tc>
        <w:tc>
          <w:tcPr>
            <w:tcW w:w="2722" w:type="dxa"/>
            <w:vMerge w:val="continue"/>
            <w:tcBorders>
              <w:top w:val="nil"/>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4" w:hRule="atLeast"/>
          <w:jc w:val="center"/>
        </w:trPr>
        <w:tc>
          <w:tcPr>
            <w:tcW w:w="588"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1"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53</w:t>
            </w:r>
          </w:p>
        </w:tc>
        <w:tc>
          <w:tcPr>
            <w:tcW w:w="1930" w:type="dxa"/>
            <w:gridSpan w:val="2"/>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加强对依申请公开工作的暗访检查，规范受理、答复行为，对存在的问题进行点评反馈，不断提升政府信息依申请公开水平</w:t>
            </w:r>
          </w:p>
        </w:tc>
        <w:tc>
          <w:tcPr>
            <w:tcW w:w="2722"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85" w:hRule="atLeast"/>
          <w:jc w:val="center"/>
        </w:trPr>
        <w:tc>
          <w:tcPr>
            <w:tcW w:w="588" w:type="dxa"/>
            <w:tcBorders>
              <w:left w:val="single" w:color="231F20" w:sz="6" w:space="0"/>
              <w:bottom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82"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54</w:t>
            </w:r>
          </w:p>
        </w:tc>
        <w:tc>
          <w:tcPr>
            <w:tcW w:w="1930" w:type="dxa"/>
            <w:gridSpan w:val="2"/>
            <w:vMerge w:val="continue"/>
            <w:tcBorders>
              <w:top w:val="nil"/>
              <w:bottom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45" w:type="dxa"/>
            <w:tcBorders>
              <w:bottom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加强对信息公开申请复议、诉讼案件特别是败诉案件的分析，掌握成案及败诉原因，采取针对性措施加以改进</w:t>
            </w:r>
          </w:p>
        </w:tc>
        <w:tc>
          <w:tcPr>
            <w:tcW w:w="2722" w:type="dxa"/>
            <w:tcBorders>
              <w:bottom w:val="single" w:color="231F20" w:sz="6" w:space="0"/>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62"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bl>
    <w:p>
      <w:pPr>
        <w:pStyle w:val="68"/>
        <w:spacing w:before="27" w:beforeLines="0"/>
        <w:jc w:val="left"/>
        <w:rPr>
          <w:rFonts w:hint="default" w:ascii="Times New Roman" w:hAnsi="Times New Roman" w:eastAsia="仿宋_GB2312" w:cs="Times New Roman"/>
          <w:spacing w:val="0"/>
          <w:sz w:val="21"/>
          <w:szCs w:val="21"/>
        </w:rPr>
      </w:pPr>
    </w:p>
    <w:tbl>
      <w:tblPr>
        <w:tblStyle w:val="21"/>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5"/>
        <w:gridCol w:w="661"/>
        <w:gridCol w:w="1264"/>
        <w:gridCol w:w="7820"/>
        <w:gridCol w:w="275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jc w:val="center"/>
        </w:trPr>
        <w:tc>
          <w:tcPr>
            <w:tcW w:w="585" w:type="dxa"/>
            <w:tcBorders>
              <w:top w:val="single" w:color="231F20" w:sz="6" w:space="0"/>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25" w:type="dxa"/>
            <w:gridSpan w:val="2"/>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20" w:type="dxa"/>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50" w:type="dxa"/>
            <w:tcBorders>
              <w:top w:val="single" w:color="231F20" w:sz="6" w:space="0"/>
              <w:righ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39"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55</w:t>
            </w:r>
          </w:p>
        </w:tc>
        <w:tc>
          <w:tcPr>
            <w:tcW w:w="1925" w:type="dxa"/>
            <w:gridSpan w:val="2"/>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完善主动公开事项目录体系</w:t>
            </w: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以正在执行的主动公开基本目录和各领域基层政务公开事项标准目录为基础，全面梳理法律、法规、规章中关于主动公开信息的规定，逐项明确公开主体、内容、时限、方式、渠道、责任等要素，编制各级政府及政府部门的主动公开事项目录，做到法定公开事项公开到位，其他事项审慎主动公开</w:t>
            </w:r>
          </w:p>
        </w:tc>
        <w:tc>
          <w:tcPr>
            <w:tcW w:w="2750" w:type="dxa"/>
            <w:vMerge w:val="restart"/>
            <w:tcBorders>
              <w:bottom w:val="nil"/>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56</w:t>
            </w:r>
          </w:p>
        </w:tc>
        <w:tc>
          <w:tcPr>
            <w:tcW w:w="1925" w:type="dxa"/>
            <w:gridSpan w:val="2"/>
            <w:vMerge w:val="continue"/>
            <w:tcBorders>
              <w:top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全力抓好主动公开事项目录落实，同步调整政府网站栏目，完善其他公开渠道，确保事项目录要求与实际公开内容一致</w:t>
            </w:r>
          </w:p>
        </w:tc>
        <w:tc>
          <w:tcPr>
            <w:tcW w:w="2750" w:type="dxa"/>
            <w:vMerge w:val="continue"/>
            <w:tcBorders>
              <w:top w:val="nil"/>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4"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231F20"/>
                <w:spacing w:val="0"/>
                <w:sz w:val="21"/>
                <w:szCs w:val="21"/>
              </w:rPr>
            </w:pPr>
            <w:r>
              <w:rPr>
                <w:rFonts w:hint="default" w:ascii="Times New Roman" w:hAnsi="Times New Roman" w:eastAsia="仿宋_GB2312" w:cs="Times New Roman"/>
                <w:color w:val="231F20"/>
                <w:spacing w:val="0"/>
                <w:sz w:val="21"/>
                <w:szCs w:val="21"/>
              </w:rPr>
              <w:t>57</w:t>
            </w:r>
          </w:p>
        </w:tc>
        <w:tc>
          <w:tcPr>
            <w:tcW w:w="661" w:type="dxa"/>
            <w:vMerge w:val="restart"/>
            <w:tcBorders>
              <w:bottom w:val="nil"/>
            </w:tcBorders>
            <w:noWrap w:val="0"/>
            <w:textDirection w:val="tbRlV"/>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231F20"/>
                <w:spacing w:val="0"/>
                <w:sz w:val="21"/>
                <w:szCs w:val="21"/>
                <w:lang w:eastAsia="zh-CN"/>
              </w:rPr>
            </w:pPr>
            <w:r>
              <w:rPr>
                <w:rFonts w:hint="default" w:ascii="Times New Roman" w:hAnsi="Times New Roman" w:eastAsia="仿宋_GB2312" w:cs="Times New Roman"/>
                <w:color w:val="231F20"/>
                <w:spacing w:val="0"/>
                <w:sz w:val="21"/>
                <w:szCs w:val="21"/>
                <w:lang w:eastAsia="zh-CN"/>
              </w:rPr>
              <w:t>拓展优化公开平台</w:t>
            </w:r>
          </w:p>
        </w:tc>
        <w:tc>
          <w:tcPr>
            <w:tcW w:w="1264"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持续优化政府网站功能</w:t>
            </w: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提升政府门户网站站内检索功能，完善错别字自动纠正、关键词推荐、拼音转化搜索和通俗语言搜索等功能</w:t>
            </w:r>
          </w:p>
        </w:tc>
        <w:tc>
          <w:tcPr>
            <w:tcW w:w="2750" w:type="dxa"/>
            <w:vMerge w:val="restart"/>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区政府办公室（区大数据局）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58</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对搜索结果提供多维度分类展现，聚合相关信息和服务，实现“搜索即服务”</w:t>
            </w:r>
          </w:p>
        </w:tc>
        <w:tc>
          <w:tcPr>
            <w:tcW w:w="2750" w:type="dxa"/>
            <w:vMerge w:val="continue"/>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21"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59</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完善政策问答平台运行机制，围绕高频政策咨询事项组建知识库，形成各级、各部门协同联动、对接共享的政策问答体系</w:t>
            </w:r>
          </w:p>
        </w:tc>
        <w:tc>
          <w:tcPr>
            <w:tcW w:w="2750" w:type="dxa"/>
            <w:vMerge w:val="continue"/>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5"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60</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推动12345政务服务便民热线与政务服务平台、政府网站互动交流系统、政务新媒体等互联互通、共享共用政策业务咨询问答知识库</w:t>
            </w:r>
          </w:p>
        </w:tc>
        <w:tc>
          <w:tcPr>
            <w:tcW w:w="2750" w:type="dxa"/>
            <w:vMerge w:val="continue"/>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61</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切实强化政府网站和政务新媒体管理</w:t>
            </w: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按要求做好全国政府网站和政务新媒体信息报送系统的信息更新维护工作，健全完善备案管理、开设关停、检查通报等全链条工作制度</w:t>
            </w:r>
          </w:p>
        </w:tc>
        <w:tc>
          <w:tcPr>
            <w:tcW w:w="2750" w:type="dxa"/>
            <w:vMerge w:val="continue"/>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62</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有序推进政府网站IPv6改造任务，持续做好“我为政府网站找错”平台留言办理工作</w:t>
            </w:r>
          </w:p>
        </w:tc>
        <w:tc>
          <w:tcPr>
            <w:tcW w:w="2750" w:type="dxa"/>
            <w:vMerge w:val="continue"/>
            <w:tcBorders>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5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63</w:t>
            </w:r>
          </w:p>
        </w:tc>
        <w:tc>
          <w:tcPr>
            <w:tcW w:w="661" w:type="dxa"/>
            <w:vMerge w:val="continue"/>
            <w:tcBorders>
              <w:top w:val="nil"/>
              <w:bottom w:val="nil"/>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nil"/>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加强政务新媒体“瘦身提质”，突出做大做强主账号，积极培育优质精品账号，强化政务新媒体矩阵体系建设，及时大范围转载重要信息</w:t>
            </w:r>
          </w:p>
        </w:tc>
        <w:tc>
          <w:tcPr>
            <w:tcW w:w="2750" w:type="dxa"/>
            <w:vMerge w:val="continue"/>
            <w:tcBorders>
              <w:right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1" w:hRule="atLeast"/>
          <w:jc w:val="center"/>
        </w:trPr>
        <w:tc>
          <w:tcPr>
            <w:tcW w:w="585" w:type="dxa"/>
            <w:tcBorders>
              <w:left w:val="single" w:color="231F20" w:sz="6" w:space="0"/>
              <w:bottom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231F20"/>
                <w:spacing w:val="0"/>
                <w:sz w:val="21"/>
                <w:szCs w:val="21"/>
              </w:rPr>
              <w:t>64</w:t>
            </w:r>
          </w:p>
        </w:tc>
        <w:tc>
          <w:tcPr>
            <w:tcW w:w="661" w:type="dxa"/>
            <w:vMerge w:val="continue"/>
            <w:tcBorders>
              <w:top w:val="nil"/>
              <w:bottom w:val="single" w:color="231F20" w:sz="6" w:space="0"/>
            </w:tcBorders>
            <w:noWrap w:val="0"/>
            <w:textDirection w:val="tbRlV"/>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single" w:color="231F20" w:sz="6" w:space="0"/>
            </w:tcBorders>
            <w:noWrap w:val="0"/>
            <w:vAlign w:val="top"/>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tcBorders>
              <w:bottom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在公开前明确各类信息的公开时限，建立健全对已公开信息的管理制度,更好统筹政务公开和安全保密，依法对拟公开信息进行保密审查，防止国家秘密、工作秘密和敏感信息泄露</w:t>
            </w:r>
          </w:p>
        </w:tc>
        <w:tc>
          <w:tcPr>
            <w:tcW w:w="2750" w:type="dxa"/>
            <w:tcBorders>
              <w:bottom w:val="single" w:color="231F20" w:sz="6" w:space="0"/>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各镇（街道），区政府各部门单位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1" w:hRule="atLeast"/>
          <w:jc w:val="center"/>
        </w:trPr>
        <w:tc>
          <w:tcPr>
            <w:tcW w:w="585" w:type="dxa"/>
            <w:tcBorders>
              <w:top w:val="single" w:color="231F20" w:sz="6" w:space="0"/>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序号</w:t>
            </w:r>
          </w:p>
        </w:tc>
        <w:tc>
          <w:tcPr>
            <w:tcW w:w="1925" w:type="dxa"/>
            <w:gridSpan w:val="2"/>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工作任务</w:t>
            </w:r>
          </w:p>
        </w:tc>
        <w:tc>
          <w:tcPr>
            <w:tcW w:w="7820" w:type="dxa"/>
            <w:tcBorders>
              <w:top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工作要求</w:t>
            </w:r>
          </w:p>
        </w:tc>
        <w:tc>
          <w:tcPr>
            <w:tcW w:w="2750" w:type="dxa"/>
            <w:tcBorders>
              <w:top w:val="single" w:color="231F20" w:sz="6" w:space="0"/>
              <w:righ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黑体" w:cs="Times New Roman"/>
                <w:b w:val="0"/>
                <w:bCs w:val="0"/>
                <w:color w:val="auto"/>
                <w:spacing w:val="0"/>
                <w:sz w:val="21"/>
                <w:szCs w:val="22"/>
                <w:vertAlign w:val="baseline"/>
                <w:lang w:eastAsia="zh-CN"/>
              </w:rPr>
            </w:pPr>
            <w:r>
              <w:rPr>
                <w:rFonts w:hint="default" w:ascii="Times New Roman" w:hAnsi="Times New Roman" w:eastAsia="黑体" w:cs="Times New Roman"/>
                <w:b w:val="0"/>
                <w:bCs w:val="0"/>
                <w:color w:val="auto"/>
                <w:spacing w:val="0"/>
                <w:sz w:val="21"/>
                <w:szCs w:val="22"/>
                <w:vertAlign w:val="baseline"/>
                <w:lang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60"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65</w:t>
            </w:r>
          </w:p>
        </w:tc>
        <w:tc>
          <w:tcPr>
            <w:tcW w:w="661" w:type="dxa"/>
            <w:vMerge w:val="restart"/>
            <w:tcBorders>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拓展优化公开平台</w:t>
            </w:r>
          </w:p>
        </w:tc>
        <w:tc>
          <w:tcPr>
            <w:tcW w:w="1264" w:type="dxa"/>
            <w:vMerge w:val="restart"/>
            <w:tcBorders>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务实推进政务公开专区特色化建设</w:t>
            </w: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加强政务公开专区建设，以场地建设标准、功能建设需求为重点，以提升为民服务效能为目的，对全区现有政务公开专区建设进行规范升级，做强政府信息查询、信息公开申请、办事咨询答复等服务，探索实现专区查询服务系统与政府信息公开专栏、政府文件库等互联互通</w:t>
            </w:r>
          </w:p>
        </w:tc>
        <w:tc>
          <w:tcPr>
            <w:tcW w:w="2750"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left"/>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各镇（街道）、区行政审批服务局、区文化和旅游局（区图书馆）</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56" w:hRule="atLeast"/>
          <w:jc w:val="center"/>
        </w:trPr>
        <w:tc>
          <w:tcPr>
            <w:tcW w:w="585" w:type="dxa"/>
            <w:tcBorders>
              <w:left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66</w:t>
            </w:r>
          </w:p>
        </w:tc>
        <w:tc>
          <w:tcPr>
            <w:tcW w:w="661" w:type="dxa"/>
            <w:vMerge w:val="continue"/>
            <w:tcBorders>
              <w:top w:val="nil"/>
              <w:bottom w:val="nil"/>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nil"/>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在区政务服务大厅、各镇（街道）便民服务中心、重点公共企事业单位等便民服务场所，筛选打造一批有特色有亮点的品牌专区</w:t>
            </w:r>
          </w:p>
        </w:tc>
        <w:tc>
          <w:tcPr>
            <w:tcW w:w="2750" w:type="dxa"/>
            <w:tcBorders>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各镇（街道）、区行政审批服务局、区教育和体育局、区住房和城乡建设局、区交通运输</w:t>
            </w:r>
            <w:r>
              <w:rPr>
                <w:rFonts w:hint="default" w:ascii="Times New Roman" w:hAnsi="Times New Roman" w:eastAsia="仿宋_GB2312" w:cs="Times New Roman"/>
                <w:spacing w:val="-4"/>
                <w:kern w:val="0"/>
                <w:sz w:val="21"/>
                <w:szCs w:val="21"/>
                <w:highlight w:val="none"/>
                <w:lang w:eastAsia="zh-CN"/>
              </w:rPr>
              <w:t>局、区水利局、区卫生健康局、</w:t>
            </w:r>
            <w:r>
              <w:rPr>
                <w:rFonts w:hint="default" w:ascii="Times New Roman" w:hAnsi="Times New Roman" w:eastAsia="仿宋_GB2312" w:cs="Times New Roman"/>
                <w:spacing w:val="0"/>
                <w:kern w:val="0"/>
                <w:sz w:val="21"/>
                <w:szCs w:val="21"/>
                <w:highlight w:val="none"/>
                <w:lang w:eastAsia="zh-CN"/>
              </w:rPr>
              <w:t>区生态环境分局、区文化和旅游局（区图书馆）</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60" w:hRule="atLeast"/>
          <w:jc w:val="center"/>
        </w:trPr>
        <w:tc>
          <w:tcPr>
            <w:tcW w:w="585" w:type="dxa"/>
            <w:tcBorders>
              <w:left w:val="single" w:color="231F20" w:sz="6" w:space="0"/>
              <w:bottom w:val="single" w:color="231F20" w:sz="6" w:space="0"/>
            </w:tcBorders>
            <w:noWrap w:val="0"/>
            <w:vAlign w:val="center"/>
          </w:tcPr>
          <w:p>
            <w:pPr>
              <w:pStyle w:val="6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67</w:t>
            </w:r>
          </w:p>
        </w:tc>
        <w:tc>
          <w:tcPr>
            <w:tcW w:w="661" w:type="dxa"/>
            <w:vMerge w:val="continue"/>
            <w:tcBorders>
              <w:top w:val="nil"/>
              <w:bottom w:val="single" w:color="231F20" w:sz="6" w:space="0"/>
            </w:tcBorders>
            <w:noWrap w:val="0"/>
            <w:textDirection w:val="tbRlV"/>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1264" w:type="dxa"/>
            <w:vMerge w:val="continue"/>
            <w:tcBorders>
              <w:top w:val="nil"/>
              <w:bottom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kern w:val="0"/>
                <w:sz w:val="21"/>
                <w:szCs w:val="21"/>
                <w:highlight w:val="none"/>
                <w:lang w:eastAsia="zh-CN"/>
              </w:rPr>
            </w:pPr>
          </w:p>
        </w:tc>
        <w:tc>
          <w:tcPr>
            <w:tcW w:w="7820" w:type="dxa"/>
            <w:tcBorders>
              <w:bottom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积极拓展政务公开专区功能，有序开展重要政策现场解读、综合政策咨询、办事流程场景展示等活动，推动公开与服务深度融合</w:t>
            </w:r>
          </w:p>
        </w:tc>
        <w:tc>
          <w:tcPr>
            <w:tcW w:w="2750" w:type="dxa"/>
            <w:tcBorders>
              <w:bottom w:val="single" w:color="231F20" w:sz="6" w:space="0"/>
              <w:right w:val="single" w:color="231F20" w:sz="6" w:space="0"/>
            </w:tcBorders>
            <w:noWrap w:val="0"/>
            <w:vAlign w:val="center"/>
          </w:tcPr>
          <w:p>
            <w:pPr>
              <w:pStyle w:val="9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pacing w:val="0"/>
                <w:kern w:val="0"/>
                <w:sz w:val="21"/>
                <w:szCs w:val="21"/>
                <w:highlight w:val="none"/>
                <w:lang w:eastAsia="zh-CN"/>
              </w:rPr>
            </w:pPr>
            <w:r>
              <w:rPr>
                <w:rFonts w:hint="default" w:ascii="Times New Roman" w:hAnsi="Times New Roman" w:eastAsia="仿宋_GB2312" w:cs="Times New Roman"/>
                <w:spacing w:val="0"/>
                <w:kern w:val="0"/>
                <w:sz w:val="21"/>
                <w:szCs w:val="21"/>
                <w:highlight w:val="none"/>
                <w:lang w:eastAsia="zh-CN"/>
              </w:rPr>
              <w:t>各镇（街道）、区行政审批服务局</w:t>
            </w:r>
          </w:p>
        </w:tc>
      </w:tr>
    </w:tbl>
    <w:p>
      <w:pPr>
        <w:pStyle w:val="85"/>
        <w:rPr>
          <w:rFonts w:hint="default"/>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sectPr>
          <w:pgSz w:w="16840" w:h="11907" w:orient="landscape"/>
          <w:pgMar w:top="1531" w:right="2041" w:bottom="1531" w:left="1701" w:header="851" w:footer="1020" w:gutter="0"/>
          <w:paperSrc/>
          <w:cols w:space="720" w:num="1"/>
          <w:docGrid w:linePitch="312" w:charSpace="0"/>
        </w:sectPr>
      </w:pPr>
    </w:p>
    <w:p>
      <w:pPr>
        <w:pStyle w:val="7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default" w:ascii="Times New Roman" w:hAnsi="Times New Roman" w:eastAsia="黑体" w:cs="Times New Roman"/>
          <w:color w:val="000000"/>
          <w:spacing w:val="-6"/>
          <w:kern w:val="0"/>
          <w:sz w:val="32"/>
          <w:szCs w:val="24"/>
        </w:rPr>
      </w:pPr>
      <w:r>
        <w:rPr>
          <w:rFonts w:hint="default" w:ascii="Times New Roman" w:hAnsi="Times New Roman" w:eastAsia="黑体" w:cs="Times New Roman"/>
          <w:color w:val="000000"/>
          <w:spacing w:val="-6"/>
          <w:kern w:val="0"/>
          <w:sz w:val="32"/>
          <w:szCs w:val="24"/>
        </w:rPr>
        <w:t>附件2</w:t>
      </w:r>
    </w:p>
    <w:p>
      <w:pPr>
        <w:pStyle w:val="7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right="0" w:rightChars="0" w:firstLine="0" w:firstLineChars="0"/>
        <w:jc w:val="left"/>
        <w:textAlignment w:val="baseline"/>
        <w:rPr>
          <w:rFonts w:hint="eastAsia"/>
        </w:rPr>
      </w:pPr>
    </w:p>
    <w:p>
      <w:pPr>
        <w:pStyle w:val="7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70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000000"/>
          <w:spacing w:val="-6"/>
          <w:kern w:val="0"/>
          <w:sz w:val="44"/>
          <w:szCs w:val="24"/>
        </w:rPr>
      </w:pPr>
      <w:r>
        <w:rPr>
          <w:rFonts w:hint="eastAsia" w:ascii="方正小标宋_GBK" w:hAnsi="方正小标宋_GBK" w:eastAsia="方正小标宋_GBK" w:cs="方正小标宋_GBK"/>
          <w:color w:val="000000"/>
          <w:spacing w:val="-6"/>
          <w:kern w:val="0"/>
          <w:sz w:val="44"/>
          <w:szCs w:val="24"/>
        </w:rPr>
        <w:t>政府开放活动计划安排报送表</w:t>
      </w:r>
    </w:p>
    <w:p>
      <w:pPr>
        <w:pStyle w:val="77"/>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exact"/>
        <w:ind w:left="150" w:leftChars="0" w:right="0" w:rightChars="0" w:firstLine="0" w:firstLineChars="0"/>
        <w:jc w:val="left"/>
        <w:textAlignment w:val="baseline"/>
        <w:outlineLvl w:val="1"/>
        <w:rPr>
          <w:rFonts w:hint="eastAsia"/>
        </w:rPr>
      </w:pPr>
    </w:p>
    <w:p>
      <w:pPr>
        <w:pStyle w:val="57"/>
        <w:rPr>
          <w:rFonts w:hint="default"/>
        </w:rPr>
      </w:pPr>
      <w:r>
        <w:rPr>
          <w:rFonts w:hint="default" w:ascii="Times New Roman" w:hAnsi="Times New Roman" w:eastAsia="黑体" w:cs="Times New Roman"/>
          <w:color w:val="000000"/>
          <w:spacing w:val="-6"/>
          <w:sz w:val="25"/>
          <w:szCs w:val="24"/>
        </w:rPr>
        <w:t>单位名称：</w:t>
      </w:r>
      <w:r>
        <w:rPr>
          <w:rFonts w:hint="default" w:ascii="Times New Roman" w:hAnsi="Times New Roman" w:eastAsia="黑体" w:cs="Times New Roman"/>
          <w:color w:val="000000"/>
          <w:spacing w:val="-6"/>
          <w:sz w:val="25"/>
          <w:szCs w:val="24"/>
          <w:u w:val="single" w:color="000000"/>
        </w:rPr>
        <w:t xml:space="preserve">                                        </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21"/>
        <w:gridCol w:w="3171"/>
        <w:gridCol w:w="1395"/>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活动主题</w:t>
            </w:r>
          </w:p>
        </w:tc>
        <w:tc>
          <w:tcPr>
            <w:tcW w:w="7249"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（如“</w:t>
            </w:r>
            <w:r>
              <w:rPr>
                <w:rFonts w:hint="default" w:ascii="Times New Roman" w:hAnsi="Times New Roman" w:eastAsia="黑体" w:cs="Times New Roman"/>
                <w:color w:val="000000"/>
                <w:spacing w:val="-6"/>
                <w:kern w:val="0"/>
                <w:sz w:val="21"/>
                <w:szCs w:val="24"/>
                <w:lang w:eastAsia="zh-CN"/>
              </w:rPr>
              <w:t>我为群众办实事</w:t>
            </w:r>
            <w:r>
              <w:rPr>
                <w:rFonts w:hint="default" w:ascii="Times New Roman" w:hAnsi="Times New Roman" w:eastAsia="黑体" w:cs="Times New Roman"/>
                <w:color w:val="000000"/>
                <w:spacing w:val="-6"/>
                <w:kern w:val="0"/>
                <w:sz w:val="21"/>
                <w:szCs w:val="24"/>
              </w:rPr>
              <w:t>”“</w:t>
            </w:r>
            <w:r>
              <w:rPr>
                <w:rFonts w:hint="default" w:ascii="Times New Roman" w:hAnsi="Times New Roman" w:eastAsia="黑体" w:cs="Times New Roman"/>
                <w:color w:val="000000"/>
                <w:spacing w:val="-6"/>
                <w:kern w:val="0"/>
                <w:sz w:val="21"/>
                <w:szCs w:val="24"/>
                <w:lang w:eastAsia="zh-CN"/>
              </w:rPr>
              <w:t>以爱相约，为爱而来</w:t>
            </w:r>
            <w:r>
              <w:rPr>
                <w:rFonts w:hint="default" w:ascii="Times New Roman" w:hAnsi="Times New Roman" w:eastAsia="黑体" w:cs="Times New Roman"/>
                <w:color w:val="000000"/>
                <w:spacing w:val="-6"/>
                <w:kern w:val="0"/>
                <w:sz w:val="21"/>
                <w:szCs w:val="24"/>
              </w:rPr>
              <w:t>”“</w:t>
            </w:r>
            <w:r>
              <w:rPr>
                <w:rFonts w:hint="default" w:ascii="Times New Roman" w:hAnsi="Times New Roman" w:eastAsia="黑体" w:cs="Times New Roman"/>
                <w:color w:val="000000"/>
                <w:spacing w:val="-6"/>
                <w:kern w:val="0"/>
                <w:sz w:val="21"/>
                <w:szCs w:val="24"/>
                <w:lang w:eastAsia="zh-CN"/>
              </w:rPr>
              <w:t>主题法庭开放日</w:t>
            </w:r>
            <w:r>
              <w:rPr>
                <w:rFonts w:hint="default" w:ascii="Times New Roman" w:hAnsi="Times New Roman" w:eastAsia="黑体" w:cs="Times New Roman"/>
                <w:color w:val="000000"/>
                <w:spacing w:val="-6"/>
                <w:kern w:val="0"/>
                <w:sz w:val="21"/>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开展时间</w:t>
            </w:r>
          </w:p>
        </w:tc>
        <w:tc>
          <w:tcPr>
            <w:tcW w:w="317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both"/>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（必须明确月份，可具体到日，也可填写某月上旬、中旬、下旬）</w:t>
            </w:r>
          </w:p>
        </w:tc>
        <w:tc>
          <w:tcPr>
            <w:tcW w:w="1395"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开展地点</w:t>
            </w:r>
          </w:p>
        </w:tc>
        <w:tc>
          <w:tcPr>
            <w:tcW w:w="2683"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both"/>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（如</w:t>
            </w:r>
            <w:r>
              <w:rPr>
                <w:rFonts w:hint="default" w:ascii="Times New Roman" w:hAnsi="Times New Roman" w:eastAsia="黑体" w:cs="Times New Roman"/>
                <w:color w:val="000000"/>
                <w:spacing w:val="-6"/>
                <w:kern w:val="0"/>
                <w:sz w:val="21"/>
                <w:szCs w:val="24"/>
                <w:lang w:eastAsia="zh-CN"/>
              </w:rPr>
              <w:t>周村区</w:t>
            </w:r>
            <w:r>
              <w:rPr>
                <w:rFonts w:hint="default" w:ascii="Times New Roman" w:hAnsi="Times New Roman" w:eastAsia="黑体" w:cs="Times New Roman"/>
                <w:color w:val="000000"/>
                <w:spacing w:val="-6"/>
                <w:kern w:val="0"/>
                <w:sz w:val="21"/>
                <w:szCs w:val="24"/>
              </w:rPr>
              <w:t>图书馆、</w:t>
            </w:r>
            <w:r>
              <w:rPr>
                <w:rFonts w:hint="default" w:ascii="Times New Roman" w:hAnsi="Times New Roman" w:eastAsia="黑体" w:cs="Times New Roman"/>
                <w:color w:val="000000"/>
                <w:spacing w:val="-6"/>
                <w:kern w:val="0"/>
                <w:sz w:val="21"/>
                <w:szCs w:val="24"/>
                <w:lang w:eastAsia="zh-CN"/>
              </w:rPr>
              <w:t>周村区文化馆</w:t>
            </w:r>
            <w:r>
              <w:rPr>
                <w:rFonts w:hint="default" w:ascii="Times New Roman" w:hAnsi="Times New Roman" w:eastAsia="黑体" w:cs="Times New Roman"/>
                <w:color w:val="000000"/>
                <w:spacing w:val="-6"/>
                <w:kern w:val="0"/>
                <w:sz w:val="21"/>
                <w:szCs w:val="24"/>
              </w:rPr>
              <w:t>，不用写具体门牌号）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活动内容</w:t>
            </w:r>
          </w:p>
        </w:tc>
        <w:tc>
          <w:tcPr>
            <w:tcW w:w="7249"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both"/>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（如“邀请</w:t>
            </w:r>
            <w:r>
              <w:rPr>
                <w:rFonts w:hint="default" w:ascii="Times New Roman" w:hAnsi="Times New Roman" w:eastAsia="黑体" w:cs="Times New Roman"/>
                <w:color w:val="000000"/>
                <w:spacing w:val="-6"/>
                <w:kern w:val="0"/>
                <w:sz w:val="21"/>
                <w:szCs w:val="24"/>
                <w:lang w:eastAsia="zh-CN"/>
              </w:rPr>
              <w:t>企业代表</w:t>
            </w:r>
            <w:r>
              <w:rPr>
                <w:rFonts w:hint="default" w:ascii="Times New Roman" w:hAnsi="Times New Roman" w:eastAsia="黑体" w:cs="Times New Roman"/>
                <w:color w:val="000000"/>
                <w:spacing w:val="-6"/>
                <w:kern w:val="0"/>
                <w:sz w:val="21"/>
                <w:szCs w:val="24"/>
              </w:rPr>
              <w:t>参观</w:t>
            </w:r>
            <w:r>
              <w:rPr>
                <w:rFonts w:hint="default" w:ascii="Times New Roman" w:hAnsi="Times New Roman" w:eastAsia="黑体" w:cs="Times New Roman"/>
                <w:color w:val="000000"/>
                <w:spacing w:val="-6"/>
                <w:kern w:val="0"/>
                <w:sz w:val="21"/>
                <w:szCs w:val="24"/>
                <w:lang w:eastAsia="zh-CN"/>
              </w:rPr>
              <w:t>主题法庭</w:t>
            </w:r>
            <w:r>
              <w:rPr>
                <w:rFonts w:hint="default" w:ascii="Times New Roman" w:hAnsi="Times New Roman" w:eastAsia="黑体" w:cs="Times New Roman"/>
                <w:color w:val="000000"/>
                <w:spacing w:val="-6"/>
                <w:kern w:val="0"/>
                <w:sz w:val="21"/>
                <w:szCs w:val="24"/>
              </w:rPr>
              <w:t>，现场观摩</w:t>
            </w:r>
            <w:r>
              <w:rPr>
                <w:rFonts w:hint="default" w:ascii="Times New Roman" w:hAnsi="Times New Roman" w:eastAsia="黑体" w:cs="Times New Roman"/>
                <w:color w:val="000000"/>
                <w:spacing w:val="-6"/>
                <w:kern w:val="0"/>
                <w:sz w:val="21"/>
                <w:szCs w:val="24"/>
                <w:lang w:eastAsia="zh-CN"/>
              </w:rPr>
              <w:t>，以案释法进行法律知识科普，</w:t>
            </w:r>
            <w:r>
              <w:rPr>
                <w:rFonts w:hint="default" w:ascii="Times New Roman" w:hAnsi="Times New Roman" w:eastAsia="黑体" w:cs="Times New Roman"/>
                <w:color w:val="000000"/>
                <w:spacing w:val="-6"/>
                <w:kern w:val="0"/>
                <w:sz w:val="21"/>
                <w:szCs w:val="24"/>
              </w:rPr>
              <w:t>开展座谈交流、问卷调查”）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活动对象</w:t>
            </w:r>
          </w:p>
        </w:tc>
        <w:tc>
          <w:tcPr>
            <w:tcW w:w="7249"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（如“企业代表10人”）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活动报名方式</w:t>
            </w:r>
          </w:p>
        </w:tc>
        <w:tc>
          <w:tcPr>
            <w:tcW w:w="7249"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pStyle w:val="58"/>
              <w:spacing w:line="285" w:lineRule="exact"/>
              <w:ind w:left="0" w:leftChars="0" w:right="0" w:rightChars="0" w:firstLine="0" w:firstLineChars="0"/>
              <w:jc w:val="both"/>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（可填写报名邮箱、二维码等，若无需通过公开报名方式确定活动参加人员，此项可不予填写）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2" w:hRule="exact"/>
          <w:jc w:val="center"/>
        </w:trPr>
        <w:tc>
          <w:tcPr>
            <w:tcW w:w="162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联系人</w:t>
            </w:r>
          </w:p>
        </w:tc>
        <w:tc>
          <w:tcPr>
            <w:tcW w:w="3171"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p>
        </w:tc>
        <w:tc>
          <w:tcPr>
            <w:tcW w:w="1395"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r>
              <w:rPr>
                <w:rFonts w:hint="default" w:ascii="Times New Roman" w:hAnsi="Times New Roman" w:eastAsia="黑体" w:cs="Times New Roman"/>
                <w:color w:val="000000"/>
                <w:spacing w:val="-6"/>
                <w:kern w:val="0"/>
                <w:sz w:val="21"/>
                <w:szCs w:val="24"/>
              </w:rPr>
              <w:t>联系方式</w:t>
            </w:r>
          </w:p>
        </w:tc>
        <w:tc>
          <w:tcPr>
            <w:tcW w:w="2683"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pStyle w:val="58"/>
              <w:spacing w:line="310" w:lineRule="exact"/>
              <w:ind w:left="0" w:leftChars="0" w:right="0" w:rightChars="0" w:firstLine="0" w:firstLineChars="0"/>
              <w:jc w:val="center"/>
              <w:rPr>
                <w:rFonts w:hint="default" w:ascii="Times New Roman" w:hAnsi="Times New Roman" w:eastAsia="黑体" w:cs="Times New Roman"/>
                <w:color w:val="000000"/>
                <w:spacing w:val="-6"/>
                <w:kern w:val="0"/>
                <w:sz w:val="21"/>
                <w:szCs w:val="24"/>
              </w:rPr>
            </w:pPr>
          </w:p>
        </w:tc>
      </w:tr>
    </w:tbl>
    <w:p>
      <w:pPr>
        <w:pStyle w:val="86"/>
        <w:rPr>
          <w:rFonts w:hint="default"/>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ascii="Times New Roman" w:hAnsi="Times New Roman" w:eastAsia="仿宋_GB2312" w:cs="Times New Roman"/>
          <w:sz w:val="32"/>
          <w:szCs w:val="32"/>
          <w:lang w:val="en-US" w:eastAsia="zh-CN"/>
        </w:rPr>
      </w:pPr>
    </w:p>
    <w:p>
      <w:pPr>
        <w:pStyle w:val="86"/>
        <w:rPr>
          <w:rFonts w:hint="default" w:ascii="Times New Roman" w:hAnsi="Times New Roman" w:eastAsia="仿宋_GB2312" w:cs="Times New Roman"/>
          <w:sz w:val="32"/>
          <w:szCs w:val="32"/>
          <w:lang w:val="en-US" w:eastAsia="zh-CN"/>
        </w:rPr>
      </w:pPr>
    </w:p>
    <w:p>
      <w:pPr>
        <w:pStyle w:val="85"/>
        <w:rPr>
          <w:rFonts w:hint="default"/>
          <w:lang w:val="en-US" w:eastAsia="zh-CN"/>
        </w:rPr>
      </w:pPr>
    </w:p>
    <w:p>
      <w:pPr>
        <w:spacing w:line="56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pStyle w:val="17"/>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p>
      <w:pPr>
        <w:widowControl/>
        <w:spacing w:line="340" w:lineRule="atLeast"/>
        <w:ind w:right="210" w:firstLine="280"/>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抄送：区委各部门，区人大办，区政协办，区人武部，区法院，</w:t>
      </w:r>
    </w:p>
    <w:p>
      <w:pPr>
        <w:widowControl/>
        <w:rPr>
          <w:rFonts w:hint="default" w:ascii="Times New Roman" w:hAnsi="Times New Roman" w:eastAsia="仿宋_GB2312" w:cs="Times New Roman"/>
          <w:spacing w:val="6"/>
          <w:kern w:val="0"/>
          <w:szCs w:val="21"/>
        </w:rPr>
      </w:pPr>
      <w:r>
        <w:rPr>
          <w:rFonts w:hint="default" w:ascii="Times New Roman" w:hAnsi="Times New Roman" w:eastAsia="仿宋_GB2312" w:cs="Times New Roman"/>
          <w:spacing w:val="6"/>
          <w:kern w:val="0"/>
          <w:sz w:val="28"/>
          <w:szCs w:val="28"/>
        </w:rPr>
        <w:t xml:space="preserve">   </w:t>
      </w:r>
      <w:r>
        <w:rPr>
          <w:rFonts w:hint="default" w:ascii="Times New Roman" w:hAnsi="Times New Roman" w:eastAsia="仿宋_GB2312" w:cs="Times New Roman"/>
          <w:spacing w:val="2"/>
          <w:kern w:val="0"/>
          <w:sz w:val="28"/>
          <w:szCs w:val="28"/>
        </w:rPr>
        <w:t xml:space="preserve">  </w:t>
      </w:r>
      <w:r>
        <w:rPr>
          <w:rFonts w:hint="default" w:ascii="Times New Roman" w:hAnsi="Times New Roman" w:eastAsia="仿宋_GB2312" w:cs="Times New Roman"/>
          <w:spacing w:val="1"/>
          <w:kern w:val="0"/>
          <w:sz w:val="28"/>
          <w:szCs w:val="28"/>
        </w:rPr>
        <w:t xml:space="preserve">   </w:t>
      </w:r>
      <w:r>
        <w:rPr>
          <w:rFonts w:hint="default" w:ascii="Times New Roman" w:hAnsi="Times New Roman" w:eastAsia="仿宋_GB2312" w:cs="Times New Roman"/>
          <w:spacing w:val="6"/>
          <w:kern w:val="0"/>
          <w:sz w:val="28"/>
          <w:szCs w:val="28"/>
        </w:rPr>
        <w:t>区检察院，各人民团体。</w:t>
      </w:r>
    </w:p>
    <w:p>
      <w:pPr>
        <w:pStyle w:val="17"/>
        <w:spacing w:line="340" w:lineRule="exact"/>
        <w:jc w:val="both"/>
        <w:rPr>
          <w:rFonts w:hint="default" w:ascii="Times New Roman" w:hAnsi="Times New Roman" w:eastAsia="仿宋_GB2312" w:cs="Times New Roman"/>
          <w:spacing w:val="-16"/>
          <w:sz w:val="30"/>
        </w:rPr>
      </w:pPr>
      <w:r>
        <w:rPr>
          <w:rFonts w:hint="default" w:ascii="Times New Roman" w:hAnsi="Times New Roman" w:eastAsia="仿宋_GB2312" w:cs="Times New Roman"/>
          <w:spacing w:val="-16"/>
          <w:sz w:val="30"/>
        </w:rPr>
        <w:t>———————————————————————————————</w:t>
      </w:r>
    </w:p>
    <w:p>
      <w:pPr>
        <w:pStyle w:val="17"/>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日印发</w:t>
      </w:r>
    </w:p>
    <w:p>
      <w:pPr>
        <w:pStyle w:val="17"/>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sectPr>
      <w:pgSz w:w="11907" w:h="16840"/>
      <w:pgMar w:top="2041" w:right="1531" w:bottom="1701" w:left="1531" w:header="851" w:footer="1361" w:gutter="0"/>
      <w:paperSrc/>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E1002EFF" w:usb1="C000605B" w:usb2="00000029" w:usb3="00000000" w:csb0="200101FF" w:csb1="20280000"/>
  </w:font>
  <w:font w:name="Verdana">
    <w:altName w:val="Ubuntu"/>
    <w:panose1 w:val="020B0604030504040204"/>
    <w:charset w:val="00"/>
    <w:family w:val="swiss"/>
    <w:pitch w:val="default"/>
    <w:sig w:usb0="A1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Fonts w:hint="eastAsia"/>
        <w:sz w:val="28"/>
        <w:szCs w:val="28"/>
      </w:rPr>
    </w:pPr>
    <w:r>
      <w:rPr>
        <w:rStyle w:val="25"/>
        <w:rFonts w:hint="eastAsia"/>
        <w:color w:val="FFFFFF"/>
        <w:sz w:val="28"/>
        <w:szCs w:val="28"/>
      </w:rPr>
      <w:t>—</w:t>
    </w: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1</w:t>
    </w:r>
    <w:r>
      <w:rPr>
        <w:sz w:val="28"/>
        <w:szCs w:val="28"/>
      </w:rPr>
      <w:fldChar w:fldCharType="end"/>
    </w:r>
    <w:r>
      <w:rPr>
        <w:rStyle w:val="25"/>
        <w:rFonts w:hint="eastAsia"/>
        <w:sz w:val="28"/>
        <w:szCs w:val="28"/>
      </w:rPr>
      <w:t xml:space="preserve">  —</w:t>
    </w:r>
    <w:r>
      <w:rPr>
        <w:rStyle w:val="25"/>
        <w:rFonts w:hint="eastAsia"/>
        <w:color w:val="FFFFFF"/>
        <w:sz w:val="28"/>
        <w:szCs w:val="28"/>
      </w:rPr>
      <w:t>—</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Pr>
    </w:pPr>
    <w:r>
      <w:fldChar w:fldCharType="begin"/>
    </w:r>
    <w:r>
      <w:rPr>
        <w:rStyle w:val="25"/>
      </w:rPr>
      <w:instrText xml:space="preserve">PAGE  </w:instrText>
    </w:r>
    <w:r>
      <w:fldChar w:fldCharType="separate"/>
    </w:r>
    <w:r>
      <w:rPr>
        <w:rStyle w:val="25"/>
      </w:rPr>
      <w:t>1</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Fonts w:hint="eastAsia"/>
        <w:sz w:val="28"/>
        <w:szCs w:val="28"/>
      </w:rPr>
    </w:pPr>
    <w:r>
      <w:rPr>
        <w:rStyle w:val="25"/>
        <w:rFonts w:hint="eastAsia"/>
        <w:color w:val="FFFFFF"/>
        <w:sz w:val="28"/>
        <w:szCs w:val="28"/>
      </w:rPr>
      <w:t>—</w:t>
    </w: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1</w:t>
    </w:r>
    <w:r>
      <w:rPr>
        <w:sz w:val="28"/>
        <w:szCs w:val="28"/>
      </w:rPr>
      <w:fldChar w:fldCharType="end"/>
    </w:r>
    <w:r>
      <w:rPr>
        <w:rStyle w:val="25"/>
        <w:rFonts w:hint="eastAsia"/>
        <w:sz w:val="28"/>
        <w:szCs w:val="28"/>
      </w:rPr>
      <w:t xml:space="preserve">  —</w:t>
    </w:r>
    <w:r>
      <w:rPr>
        <w:rStyle w:val="25"/>
        <w:rFonts w:hint="eastAsia"/>
        <w:color w:val="FFFFFF"/>
        <w:sz w:val="28"/>
        <w:szCs w:val="28"/>
      </w:rPr>
      <w:t>—</w: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6FB9C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1"/>
    <w:uiPriority w:val="0"/>
    <w:rPr>
      <w:rFonts w:eastAsia="宋体"/>
      <w:kern w:val="2"/>
      <w:sz w:val="18"/>
      <w:szCs w:val="18"/>
      <w:lang w:val="en-US" w:eastAsia="zh-CN" w:bidi="ar-SA"/>
    </w:rPr>
  </w:style>
  <w:style w:type="paragraph" w:styleId="14">
    <w:name w:val="footer"/>
    <w:basedOn w:val="1"/>
    <w:link w:val="33"/>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46"/>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标题 3 Char New"/>
    <w:link w:val="29"/>
    <w:uiPriority w:val="0"/>
    <w:rPr>
      <w:b/>
      <w:bCs/>
      <w:szCs w:val="32"/>
    </w:rPr>
  </w:style>
  <w:style w:type="paragraph" w:customStyle="1" w:styleId="29">
    <w:name w:val="标题 3 New"/>
    <w:basedOn w:val="30"/>
    <w:next w:val="30"/>
    <w:link w:val="28"/>
    <w:uiPriority w:val="0"/>
    <w:pPr>
      <w:keepNext/>
      <w:keepLines/>
      <w:spacing w:before="260" w:beforeLines="0" w:after="260" w:afterLines="0" w:line="416" w:lineRule="auto"/>
      <w:outlineLvl w:val="2"/>
    </w:pPr>
    <w:rPr>
      <w:b/>
      <w:bCs/>
      <w:szCs w:val="32"/>
    </w:rPr>
  </w:style>
  <w:style w:type="paragraph" w:customStyle="1" w:styleId="30">
    <w:name w:val="正文 New New New New New New New New New New"/>
    <w:next w:val="31"/>
    <w:uiPriority w:val="0"/>
    <w:pPr>
      <w:widowControl w:val="0"/>
      <w:jc w:val="both"/>
    </w:pPr>
    <w:rPr>
      <w:rFonts w:ascii="Times New Roman" w:hAnsi="Times New Roman" w:eastAsia="宋体" w:cs="Times New Roman"/>
      <w:kern w:val="2"/>
      <w:sz w:val="21"/>
      <w:szCs w:val="24"/>
      <w:lang w:val="en-US" w:eastAsia="zh-CN"/>
    </w:rPr>
  </w:style>
  <w:style w:type="paragraph" w:customStyle="1" w:styleId="31">
    <w:name w:val="正文文本 New"/>
    <w:basedOn w:val="30"/>
    <w:uiPriority w:val="0"/>
    <w:pPr>
      <w:wordWrap w:val="0"/>
      <w:topLinePunct/>
      <w:autoSpaceDE w:val="0"/>
      <w:autoSpaceDN w:val="0"/>
      <w:adjustRightInd w:val="0"/>
      <w:spacing w:before="100" w:beforeLines="0" w:beforeAutospacing="1" w:after="120" w:afterLines="0"/>
      <w:ind w:firstLine="200" w:firstLineChars="200"/>
    </w:pPr>
    <w:rPr>
      <w:rFonts w:ascii="Times New Roman" w:hAnsi="Times New Roman" w:eastAsia="宋体" w:cs="Times New Roman"/>
      <w:kern w:val="32"/>
      <w:szCs w:val="32"/>
    </w:rPr>
  </w:style>
  <w:style w:type="character" w:customStyle="1" w:styleId="32">
    <w:name w:val="apple-converted-space"/>
    <w:basedOn w:val="22"/>
    <w:uiPriority w:val="0"/>
  </w:style>
  <w:style w:type="character" w:customStyle="1" w:styleId="33">
    <w:name w:val=" Char Char2"/>
    <w:basedOn w:val="22"/>
    <w:link w:val="14"/>
    <w:uiPriority w:val="0"/>
    <w:rPr>
      <w:rFonts w:eastAsia="宋体"/>
      <w:kern w:val="2"/>
      <w:sz w:val="18"/>
      <w:szCs w:val="18"/>
      <w:lang w:val="en-US" w:eastAsia="zh-CN" w:bidi="ar-SA"/>
    </w:rPr>
  </w:style>
  <w:style w:type="character" w:customStyle="1" w:styleId="34">
    <w:name w:val="ziti21"/>
    <w:basedOn w:val="22"/>
    <w:uiPriority w:val="0"/>
    <w:rPr>
      <w:rFonts w:hint="default" w:ascii="ˎ̥" w:hAnsi="ˎ̥"/>
      <w:color w:val="000000"/>
      <w:sz w:val="21"/>
      <w:szCs w:val="21"/>
      <w:u w:val="none"/>
    </w:rPr>
  </w:style>
  <w:style w:type="character" w:customStyle="1" w:styleId="35">
    <w:name w:val="font11"/>
    <w:basedOn w:val="22"/>
    <w:uiPriority w:val="0"/>
    <w:rPr>
      <w:rFonts w:hint="default" w:ascii="Times New Roman" w:hAnsi="Times New Roman" w:cs="Times New Roman"/>
      <w:color w:val="000000"/>
      <w:sz w:val="32"/>
      <w:szCs w:val="32"/>
      <w:u w:val="none"/>
    </w:rPr>
  </w:style>
  <w:style w:type="character" w:customStyle="1" w:styleId="36">
    <w:name w:val="要点 New"/>
    <w:basedOn w:val="22"/>
    <w:uiPriority w:val="0"/>
    <w:rPr>
      <w:b/>
    </w:rPr>
  </w:style>
  <w:style w:type="character" w:customStyle="1" w:styleId="37">
    <w:name w:val="链接"/>
    <w:basedOn w:val="22"/>
    <w:uiPriority w:val="0"/>
    <w:rPr>
      <w:rFonts w:ascii="Times New Roman" w:eastAsia="宋体"/>
      <w:color w:val="0000FF"/>
      <w:sz w:val="21"/>
      <w:u w:val="single" w:color="0000FF"/>
      <w:vertAlign w:val="baseline"/>
      <w:lang w:val="en-US" w:eastAsia="zh-CN"/>
    </w:rPr>
  </w:style>
  <w:style w:type="character" w:customStyle="1" w:styleId="38">
    <w:name w:val="font21"/>
    <w:basedOn w:val="22"/>
    <w:uiPriority w:val="0"/>
    <w:rPr>
      <w:rFonts w:hint="default" w:ascii="Times New Roman" w:hAnsi="Times New Roman" w:cs="Times New Roman"/>
      <w:color w:val="000000"/>
      <w:sz w:val="20"/>
      <w:szCs w:val="20"/>
      <w:u w:val="none"/>
    </w:rPr>
  </w:style>
  <w:style w:type="character" w:customStyle="1" w:styleId="39">
    <w:name w:val="font31"/>
    <w:basedOn w:val="22"/>
    <w:uiPriority w:val="0"/>
    <w:rPr>
      <w:rFonts w:hint="eastAsia" w:ascii="宋体" w:hAnsi="宋体" w:eastAsia="宋体"/>
      <w:color w:val="000000"/>
      <w:sz w:val="20"/>
      <w:szCs w:val="20"/>
      <w:u w:val="none"/>
    </w:rPr>
  </w:style>
  <w:style w:type="character" w:customStyle="1" w:styleId="40">
    <w:name w:val="apple-style-span"/>
    <w:basedOn w:val="22"/>
    <w:uiPriority w:val="0"/>
  </w:style>
  <w:style w:type="character" w:customStyle="1" w:styleId="41">
    <w:name w:val="批注框文本 Char Char"/>
    <w:link w:val="13"/>
    <w:uiPriority w:val="0"/>
    <w:rPr>
      <w:rFonts w:eastAsia="宋体"/>
      <w:kern w:val="2"/>
      <w:sz w:val="18"/>
      <w:szCs w:val="18"/>
      <w:lang w:val="en-US" w:eastAsia="zh-CN" w:bidi="ar-SA"/>
    </w:rPr>
  </w:style>
  <w:style w:type="character" w:customStyle="1" w:styleId="42">
    <w:name w:val="font01"/>
    <w:basedOn w:val="22"/>
    <w:uiPriority w:val="0"/>
    <w:rPr>
      <w:rFonts w:hint="eastAsia" w:ascii="宋体" w:hAnsi="宋体" w:eastAsia="宋体"/>
      <w:color w:val="000000"/>
      <w:sz w:val="24"/>
      <w:szCs w:val="24"/>
      <w:u w:val="none"/>
    </w:rPr>
  </w:style>
  <w:style w:type="character" w:customStyle="1" w:styleId="43">
    <w:name w:val="style21"/>
    <w:basedOn w:val="22"/>
    <w:uiPriority w:val="0"/>
    <w:rPr>
      <w:rFonts w:hint="default" w:ascii="Times New Roman" w:hAnsi="Times New Roman" w:cs="Times New Roman"/>
      <w:b/>
      <w:bCs/>
      <w:color w:val="FF0000"/>
      <w:sz w:val="80"/>
      <w:szCs w:val="80"/>
    </w:rPr>
  </w:style>
  <w:style w:type="character" w:customStyle="1" w:styleId="44">
    <w:name w:val="font71"/>
    <w:basedOn w:val="22"/>
    <w:uiPriority w:val="0"/>
    <w:rPr>
      <w:rFonts w:hint="eastAsia" w:ascii="仿宋_GB2312" w:eastAsia="仿宋_GB2312" w:cs="仿宋_GB2312"/>
      <w:color w:val="FF0000"/>
      <w:sz w:val="28"/>
      <w:szCs w:val="28"/>
      <w:u w:val="none"/>
    </w:rPr>
  </w:style>
  <w:style w:type="character" w:customStyle="1" w:styleId="45">
    <w:name w:val="font41"/>
    <w:basedOn w:val="22"/>
    <w:uiPriority w:val="0"/>
    <w:rPr>
      <w:rFonts w:hint="default" w:ascii="Times New Roman" w:hAnsi="Times New Roman" w:cs="Times New Roman"/>
      <w:color w:val="000000"/>
      <w:sz w:val="24"/>
      <w:szCs w:val="24"/>
      <w:u w:val="none"/>
    </w:rPr>
  </w:style>
  <w:style w:type="character" w:customStyle="1" w:styleId="46">
    <w:name w:val=" Char Char Char"/>
    <w:basedOn w:val="22"/>
    <w:link w:val="15"/>
    <w:uiPriority w:val="0"/>
    <w:rPr>
      <w:rFonts w:eastAsia="宋体"/>
      <w:kern w:val="2"/>
      <w:sz w:val="18"/>
      <w:szCs w:val="18"/>
      <w:lang w:val="en-US" w:eastAsia="zh-CN" w:bidi="ar-SA"/>
    </w:rPr>
  </w:style>
  <w:style w:type="character" w:customStyle="1" w:styleId="47">
    <w:name w:val="font61"/>
    <w:basedOn w:val="22"/>
    <w:uiPriority w:val="0"/>
    <w:rPr>
      <w:rFonts w:hint="eastAsia" w:ascii="仿宋_GB2312" w:eastAsia="仿宋_GB2312" w:cs="仿宋_GB2312"/>
      <w:color w:val="FF0000"/>
      <w:sz w:val="28"/>
      <w:szCs w:val="28"/>
      <w:u w:val="none"/>
    </w:rPr>
  </w:style>
  <w:style w:type="character" w:customStyle="1" w:styleId="48">
    <w:name w:val="style81"/>
    <w:basedOn w:val="22"/>
    <w:uiPriority w:val="0"/>
    <w:rPr>
      <w:rFonts w:hint="eastAsia" w:ascii="黑体" w:eastAsia="黑体"/>
      <w:b/>
      <w:bCs/>
      <w:sz w:val="27"/>
      <w:szCs w:val="27"/>
    </w:rPr>
  </w:style>
  <w:style w:type="paragraph" w:customStyle="1" w:styleId="49">
    <w:name w:val="正文 New New New New New New"/>
    <w:uiPriority w:val="0"/>
    <w:pPr>
      <w:widowControl w:val="0"/>
      <w:jc w:val="both"/>
    </w:pPr>
    <w:rPr>
      <w:kern w:val="2"/>
      <w:sz w:val="21"/>
      <w:lang w:val="en-US" w:eastAsia="zh-CN" w:bidi="ar-SA"/>
    </w:rPr>
  </w:style>
  <w:style w:type="paragraph" w:customStyle="1" w:styleId="50">
    <w:name w:val="正文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正文 New New New New New New New New New New New New New New New New New New New New New New New"/>
    <w:next w:val="52"/>
    <w:uiPriority w:val="0"/>
    <w:pPr>
      <w:widowControl w:val="0"/>
      <w:jc w:val="both"/>
    </w:pPr>
    <w:rPr>
      <w:rFonts w:ascii="Calibri" w:hAnsi="Calibri" w:eastAsia="宋体" w:cs="黑体"/>
      <w:sz w:val="21"/>
      <w:szCs w:val="22"/>
    </w:rPr>
  </w:style>
  <w:style w:type="paragraph" w:customStyle="1" w:styleId="52">
    <w:name w:val="标题 3 New New"/>
    <w:basedOn w:val="51"/>
    <w:next w:val="51"/>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customStyle="1" w:styleId="53">
    <w:name w:val="标题 1 New"/>
    <w:basedOn w:val="54"/>
    <w:next w:val="54"/>
    <w:uiPriority w:val="0"/>
    <w:pPr>
      <w:ind w:left="150"/>
      <w:outlineLvl w:val="1"/>
    </w:pPr>
    <w:rPr>
      <w:rFonts w:ascii="方正小标宋简体" w:hAnsi="方正小标宋简体" w:eastAsia="方正小标宋简体" w:cs="方正小标宋简体"/>
      <w:sz w:val="39"/>
      <w:szCs w:val="39"/>
    </w:rPr>
  </w:style>
  <w:style w:type="paragraph" w:customStyle="1" w:styleId="54">
    <w:name w:val="正文 New New New New New New New New New New New New New New New New New"/>
    <w:next w:val="53"/>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55">
    <w:name w:val=" Char"/>
    <w:basedOn w:val="1"/>
    <w:uiPriority w:val="0"/>
    <w:pPr>
      <w:tabs>
        <w:tab w:val="left" w:pos="360"/>
      </w:tabs>
    </w:pPr>
    <w:rPr>
      <w:sz w:val="24"/>
    </w:rPr>
  </w:style>
  <w:style w:type="paragraph" w:customStyle="1" w:styleId="56">
    <w:name w:val="正文 New New"/>
    <w:uiPriority w:val="0"/>
    <w:pPr>
      <w:widowControl w:val="0"/>
      <w:jc w:val="both"/>
    </w:pPr>
    <w:rPr>
      <w:kern w:val="2"/>
      <w:sz w:val="21"/>
      <w:szCs w:val="24"/>
      <w:lang w:val="en-US" w:eastAsia="zh-CN" w:bidi="ar-SA"/>
    </w:rPr>
  </w:style>
  <w:style w:type="paragraph" w:customStyle="1" w:styleId="57">
    <w:name w:val="标题 1 New New New New New New"/>
    <w:basedOn w:val="58"/>
    <w:next w:val="58"/>
    <w:uiPriority w:val="0"/>
    <w:pPr>
      <w:ind w:left="150"/>
      <w:outlineLvl w:val="1"/>
    </w:pPr>
    <w:rPr>
      <w:rFonts w:ascii="方正小标宋简体" w:hAnsi="方正小标宋简体" w:eastAsia="方正小标宋简体" w:cs="方正小标宋简体"/>
      <w:sz w:val="39"/>
      <w:szCs w:val="39"/>
    </w:rPr>
  </w:style>
  <w:style w:type="paragraph" w:customStyle="1" w:styleId="58">
    <w:name w:val="正文 New New New New New New New New New New New New New New New New New New New New New New"/>
    <w:next w:val="57"/>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59">
    <w:name w:val="正文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标题 2 New"/>
    <w:basedOn w:val="62"/>
    <w:next w:val="62"/>
    <w:uiPriority w:val="0"/>
    <w:pPr>
      <w:spacing w:before="56" w:beforeLines="0"/>
      <w:ind w:left="339"/>
      <w:outlineLvl w:val="1"/>
    </w:pPr>
    <w:rPr>
      <w:rFonts w:ascii="黑体" w:hAnsi="黑体" w:eastAsia="黑体" w:cs="黑体"/>
      <w:sz w:val="32"/>
      <w:szCs w:val="32"/>
    </w:rPr>
  </w:style>
  <w:style w:type="paragraph" w:customStyle="1" w:styleId="62">
    <w:name w:val="正文 New New New New New New New New New New New New New New New New New New New"/>
    <w:next w:val="63"/>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63">
    <w:name w:val="标题 1 New New New"/>
    <w:basedOn w:val="62"/>
    <w:next w:val="62"/>
    <w:uiPriority w:val="0"/>
    <w:pPr>
      <w:ind w:left="150"/>
      <w:outlineLvl w:val="1"/>
    </w:pPr>
    <w:rPr>
      <w:rFonts w:ascii="方正小标宋简体" w:hAnsi="方正小标宋简体" w:eastAsia="方正小标宋简体" w:cs="方正小标宋简体"/>
      <w:sz w:val="39"/>
      <w:szCs w:val="39"/>
    </w:rPr>
  </w:style>
  <w:style w:type="paragraph" w:customStyle="1" w:styleId="64">
    <w:name w:val="正文 New New New New New New New"/>
    <w:uiPriority w:val="0"/>
    <w:pPr>
      <w:widowControl w:val="0"/>
      <w:jc w:val="both"/>
    </w:pPr>
    <w:rPr>
      <w:kern w:val="2"/>
      <w:sz w:val="21"/>
      <w:szCs w:val="22"/>
      <w:lang w:val="en-US" w:eastAsia="zh-CN" w:bidi="ar-SA"/>
    </w:rPr>
  </w:style>
  <w:style w:type="paragraph" w:customStyle="1" w:styleId="65">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66">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67">
    <w:name w:val="标题 1 New New New New New"/>
    <w:basedOn w:val="68"/>
    <w:next w:val="68"/>
    <w:uiPriority w:val="0"/>
    <w:pPr>
      <w:ind w:left="150"/>
      <w:outlineLvl w:val="1"/>
    </w:pPr>
    <w:rPr>
      <w:rFonts w:ascii="方正小标宋简体" w:hAnsi="方正小标宋简体" w:eastAsia="方正小标宋简体" w:cs="方正小标宋简体"/>
      <w:sz w:val="39"/>
      <w:szCs w:val="39"/>
    </w:rPr>
  </w:style>
  <w:style w:type="paragraph" w:customStyle="1" w:styleId="68">
    <w:name w:val="正文 New New New New New New New New New New New New New New New New New New New New New"/>
    <w:next w:val="67"/>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69">
    <w:name w:val="正文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Char"/>
    <w:basedOn w:val="1"/>
    <w:uiPriority w:val="0"/>
    <w:pPr>
      <w:tabs>
        <w:tab w:val="left" w:pos="360"/>
      </w:tabs>
    </w:pPr>
    <w:rPr>
      <w:sz w:val="24"/>
    </w:rPr>
  </w:style>
  <w:style w:type="paragraph" w:customStyle="1" w:styleId="71">
    <w:name w:val="List Paragraph"/>
    <w:basedOn w:val="1"/>
    <w:uiPriority w:val="0"/>
    <w:pPr>
      <w:ind w:firstLine="420" w:firstLineChars="200"/>
    </w:pPr>
    <w:rPr>
      <w:rFonts w:ascii="Calibri" w:hAnsi="Calibri"/>
      <w:szCs w:val="22"/>
    </w:rPr>
  </w:style>
  <w:style w:type="paragraph" w:customStyle="1" w:styleId="72">
    <w:name w:val="正文 New New New New New"/>
    <w:uiPriority w:val="0"/>
    <w:pPr>
      <w:widowControl w:val="0"/>
      <w:jc w:val="both"/>
    </w:pPr>
    <w:rPr>
      <w:kern w:val="2"/>
      <w:sz w:val="21"/>
      <w:szCs w:val="24"/>
      <w:lang w:val="en-US" w:eastAsia="zh-CN" w:bidi="ar-SA"/>
    </w:rPr>
  </w:style>
  <w:style w:type="paragraph" w:customStyle="1" w:styleId="73">
    <w:name w:val="正文 New New New New"/>
    <w:uiPriority w:val="0"/>
    <w:pPr>
      <w:widowControl w:val="0"/>
      <w:jc w:val="both"/>
    </w:pPr>
    <w:rPr>
      <w:kern w:val="2"/>
      <w:sz w:val="21"/>
      <w:szCs w:val="22"/>
      <w:lang w:val="en-US" w:eastAsia="zh-CN" w:bidi="ar-SA"/>
    </w:rPr>
  </w:style>
  <w:style w:type="paragraph" w:customStyle="1" w:styleId="74">
    <w:name w:val="正文 New New New"/>
    <w:uiPriority w:val="0"/>
    <w:pPr>
      <w:widowControl w:val="0"/>
      <w:jc w:val="both"/>
    </w:pPr>
    <w:rPr>
      <w:rFonts w:ascii="Calibri" w:hAnsi="Calibri"/>
      <w:kern w:val="2"/>
      <w:sz w:val="21"/>
      <w:szCs w:val="24"/>
      <w:lang w:val="en-US" w:eastAsia="zh-CN" w:bidi="ar-SA"/>
    </w:rPr>
  </w:style>
  <w:style w:type="paragraph" w:customStyle="1" w:styleId="75">
    <w:name w:val="Normal Indent1"/>
    <w:basedOn w:val="1"/>
    <w:uiPriority w:val="0"/>
    <w:pPr>
      <w:spacing w:line="660" w:lineRule="exact"/>
      <w:ind w:firstLine="720" w:firstLineChars="200"/>
    </w:pPr>
    <w:rPr>
      <w:rFonts w:eastAsia="楷体_GB2312"/>
      <w:sz w:val="36"/>
      <w:szCs w:val="36"/>
    </w:rPr>
  </w:style>
  <w:style w:type="paragraph" w:customStyle="1" w:styleId="76">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7">
    <w:name w:val="标题 1 New New New New"/>
    <w:basedOn w:val="78"/>
    <w:next w:val="78"/>
    <w:uiPriority w:val="0"/>
    <w:pPr>
      <w:ind w:left="150"/>
      <w:outlineLvl w:val="1"/>
    </w:pPr>
    <w:rPr>
      <w:rFonts w:ascii="方正小标宋简体" w:hAnsi="方正小标宋简体" w:eastAsia="方正小标宋简体" w:cs="方正小标宋简体"/>
      <w:sz w:val="39"/>
      <w:szCs w:val="39"/>
    </w:rPr>
  </w:style>
  <w:style w:type="paragraph" w:customStyle="1" w:styleId="78">
    <w:name w:val="正文 New New New New New New New New New New New New New New New New New New New New"/>
    <w:next w:val="77"/>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79">
    <w:name w:val="正文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0">
    <w:name w:val="p17"/>
    <w:basedOn w:val="1"/>
    <w:uiPriority w:val="0"/>
    <w:pPr>
      <w:widowControl/>
      <w:jc w:val="center"/>
    </w:pPr>
    <w:rPr>
      <w:rFonts w:ascii="宋体" w:hAnsi="宋体" w:cs="宋体"/>
      <w:kern w:val="0"/>
      <w:sz w:val="70"/>
      <w:szCs w:val="70"/>
    </w:rPr>
  </w:style>
  <w:style w:type="paragraph" w:customStyle="1" w:styleId="81">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2">
    <w:name w:val="正文 New"/>
    <w:uiPriority w:val="0"/>
    <w:pPr>
      <w:widowControl w:val="0"/>
      <w:jc w:val="both"/>
    </w:pPr>
    <w:rPr>
      <w:kern w:val="2"/>
      <w:sz w:val="21"/>
      <w:szCs w:val="24"/>
      <w:lang w:val="en-US" w:eastAsia="zh-CN" w:bidi="ar-SA"/>
    </w:rPr>
  </w:style>
  <w:style w:type="paragraph" w:customStyle="1" w:styleId="83">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84">
    <w:name w:val="Normal (Web) New"/>
    <w:basedOn w:val="30"/>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5">
    <w:name w:val="标题 1 New New"/>
    <w:basedOn w:val="86"/>
    <w:next w:val="86"/>
    <w:uiPriority w:val="0"/>
    <w:pPr>
      <w:ind w:left="150"/>
      <w:outlineLvl w:val="1"/>
    </w:pPr>
    <w:rPr>
      <w:rFonts w:ascii="方正小标宋简体" w:hAnsi="方正小标宋简体" w:eastAsia="方正小标宋简体" w:cs="方正小标宋简体"/>
      <w:sz w:val="39"/>
      <w:szCs w:val="39"/>
    </w:rPr>
  </w:style>
  <w:style w:type="paragraph" w:customStyle="1" w:styleId="86">
    <w:name w:val="正文 New New New New New New New New New New New New New New New New New New"/>
    <w:next w:val="85"/>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87">
    <w:name w:val="Char 正文"/>
    <w:basedOn w:val="2"/>
    <w:uiPriority w:val="0"/>
    <w:pPr>
      <w:snapToGrid w:val="0"/>
      <w:spacing w:before="240" w:beforeLines="0" w:after="240" w:afterLines="0" w:line="348" w:lineRule="auto"/>
    </w:pPr>
  </w:style>
  <w:style w:type="paragraph" w:customStyle="1" w:styleId="88">
    <w:name w:val="p15"/>
    <w:basedOn w:val="1"/>
    <w:uiPriority w:val="0"/>
    <w:pPr>
      <w:widowControl/>
      <w:spacing w:before="100" w:beforeLines="0" w:after="100" w:afterLines="0"/>
      <w:jc w:val="left"/>
    </w:pPr>
    <w:rPr>
      <w:rFonts w:ascii="Calibri" w:hAnsi="Calibri" w:cs="宋体"/>
      <w:kern w:val="0"/>
      <w:sz w:val="24"/>
    </w:rPr>
  </w:style>
  <w:style w:type="paragraph" w:customStyle="1" w:styleId="89">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90">
    <w:name w:val="页脚 New New"/>
    <w:basedOn w:val="81"/>
    <w:uiPriority w:val="0"/>
    <w:pPr>
      <w:tabs>
        <w:tab w:val="center" w:pos="4153"/>
        <w:tab w:val="right" w:pos="8306"/>
      </w:tabs>
      <w:snapToGrid w:val="0"/>
      <w:jc w:val="left"/>
    </w:pPr>
    <w:rPr>
      <w:sz w:val="18"/>
    </w:rPr>
  </w:style>
  <w:style w:type="paragraph" w:customStyle="1" w:styleId="91">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92">
    <w:name w:val="页脚 New New New New"/>
    <w:basedOn w:val="76"/>
    <w:uiPriority w:val="0"/>
    <w:pPr>
      <w:tabs>
        <w:tab w:val="center" w:pos="4153"/>
        <w:tab w:val="right" w:pos="8306"/>
      </w:tabs>
      <w:snapToGrid w:val="0"/>
      <w:jc w:val="left"/>
    </w:pPr>
    <w:rPr>
      <w:sz w:val="18"/>
    </w:rPr>
  </w:style>
  <w:style w:type="paragraph" w:customStyle="1" w:styleId="93">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94">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96">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7">
    <w:name w:val="Table Text"/>
    <w:basedOn w:val="62"/>
    <w:uiPriority w:val="0"/>
    <w:rPr>
      <w:rFonts w:ascii="宋体" w:hAnsi="宋体" w:eastAsia="宋体" w:cs="宋体"/>
      <w:sz w:val="19"/>
      <w:szCs w:val="19"/>
      <w:lang w:val="en-US" w:eastAsia="en-US"/>
    </w:rPr>
  </w:style>
  <w:style w:type="paragraph" w:customStyle="1" w:styleId="98">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99">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100">
    <w:name w:val="页脚 New"/>
    <w:basedOn w:val="30"/>
    <w:uiPriority w:val="0"/>
    <w:pPr>
      <w:tabs>
        <w:tab w:val="center" w:pos="4140"/>
        <w:tab w:val="right" w:pos="8300"/>
      </w:tabs>
      <w:snapToGrid w:val="0"/>
      <w:jc w:val="left"/>
    </w:pPr>
    <w:rPr>
      <w:sz w:val="18"/>
    </w:rPr>
  </w:style>
  <w:style w:type="paragraph" w:customStyle="1" w:styleId="101">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02">
    <w:name w:val="p0"/>
    <w:basedOn w:val="1"/>
    <w:uiPriority w:val="0"/>
    <w:pPr>
      <w:widowControl/>
      <w:spacing w:line="365" w:lineRule="atLeast"/>
      <w:ind w:left="1"/>
      <w:textAlignment w:val="bottom"/>
    </w:pPr>
    <w:rPr>
      <w:kern w:val="0"/>
      <w:sz w:val="20"/>
      <w:szCs w:val="20"/>
    </w:rPr>
  </w:style>
  <w:style w:type="paragraph" w:customStyle="1" w:styleId="103">
    <w:name w:val="页脚 New New New New New New New New"/>
    <w:basedOn w:val="54"/>
    <w:uiPriority w:val="0"/>
    <w:pPr>
      <w:tabs>
        <w:tab w:val="center" w:pos="4153"/>
        <w:tab w:val="right" w:pos="8306"/>
      </w:tabs>
      <w:snapToGrid w:val="0"/>
      <w:jc w:val="left"/>
    </w:pPr>
    <w:rPr>
      <w:sz w:val="18"/>
    </w:rPr>
  </w:style>
  <w:style w:type="paragraph" w:customStyle="1" w:styleId="104">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105">
    <w:name w:val="页脚 New New New"/>
    <w:basedOn w:val="79"/>
    <w:uiPriority w:val="0"/>
    <w:pPr>
      <w:tabs>
        <w:tab w:val="center" w:pos="4153"/>
        <w:tab w:val="right" w:pos="8306"/>
      </w:tabs>
      <w:snapToGrid w:val="0"/>
      <w:jc w:val="left"/>
    </w:pPr>
    <w:rPr>
      <w:sz w:val="18"/>
    </w:rPr>
  </w:style>
  <w:style w:type="paragraph" w:customStyle="1" w:styleId="106">
    <w:name w:val="页脚 New New New New New New New New New"/>
    <w:basedOn w:val="86"/>
    <w:uiPriority w:val="0"/>
    <w:pPr>
      <w:tabs>
        <w:tab w:val="center" w:pos="4153"/>
        <w:tab w:val="right" w:pos="8306"/>
      </w:tabs>
      <w:snapToGrid w:val="0"/>
      <w:jc w:val="left"/>
    </w:pPr>
    <w:rPr>
      <w:sz w:val="18"/>
    </w:rPr>
  </w:style>
  <w:style w:type="paragraph" w:customStyle="1" w:styleId="107">
    <w:name w:val="页脚 New New New New New New New New New New"/>
    <w:basedOn w:val="62"/>
    <w:uiPriority w:val="0"/>
    <w:pPr>
      <w:tabs>
        <w:tab w:val="center" w:pos="4153"/>
        <w:tab w:val="right" w:pos="8306"/>
      </w:tabs>
      <w:snapToGrid w:val="0"/>
      <w:jc w:val="left"/>
    </w:pPr>
    <w:rPr>
      <w:sz w:val="18"/>
    </w:rPr>
  </w:style>
  <w:style w:type="paragraph" w:customStyle="1" w:styleId="108">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09">
    <w:name w:val=" Char1"/>
    <w:basedOn w:val="1"/>
    <w:uiPriority w:val="0"/>
    <w:pPr>
      <w:widowControl/>
      <w:spacing w:after="160" w:afterLines="0" w:line="240" w:lineRule="exact"/>
      <w:jc w:val="left"/>
    </w:pPr>
    <w:rPr>
      <w:rFonts w:eastAsia="仿宋_GB2312"/>
      <w:sz w:val="32"/>
      <w:szCs w:val="32"/>
    </w:rPr>
  </w:style>
  <w:style w:type="paragraph" w:customStyle="1" w:styleId="110">
    <w:name w:val="Char1"/>
    <w:basedOn w:val="1"/>
    <w:uiPriority w:val="0"/>
  </w:style>
  <w:style w:type="paragraph" w:customStyle="1" w:styleId="111">
    <w:name w:val="正文 New New New New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12">
    <w:name w:val="页脚 New New New New New"/>
    <w:basedOn w:val="59"/>
    <w:uiPriority w:val="0"/>
    <w:pPr>
      <w:tabs>
        <w:tab w:val="center" w:pos="4153"/>
        <w:tab w:val="right" w:pos="8306"/>
      </w:tabs>
      <w:snapToGrid w:val="0"/>
      <w:jc w:val="left"/>
    </w:pPr>
    <w:rPr>
      <w:sz w:val="18"/>
    </w:rPr>
  </w:style>
  <w:style w:type="paragraph" w:customStyle="1" w:styleId="113">
    <w:name w:val="默认段落字体 Para Char Char Char Char"/>
    <w:basedOn w:val="1"/>
    <w:uiPriority w:val="0"/>
    <w:rPr>
      <w:szCs w:val="20"/>
    </w:rPr>
  </w:style>
  <w:style w:type="paragraph" w:customStyle="1" w:styleId="114">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115">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116">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17">
    <w:name w:val="页脚 New New New New New New"/>
    <w:basedOn w:val="69"/>
    <w:uiPriority w:val="0"/>
    <w:pPr>
      <w:tabs>
        <w:tab w:val="center" w:pos="4153"/>
        <w:tab w:val="right" w:pos="8306"/>
      </w:tabs>
      <w:snapToGrid w:val="0"/>
      <w:jc w:val="left"/>
    </w:pPr>
    <w:rPr>
      <w:sz w:val="18"/>
    </w:rPr>
  </w:style>
  <w:style w:type="paragraph" w:customStyle="1" w:styleId="118">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19">
    <w:name w:val="目录 3 New"/>
    <w:basedOn w:val="1"/>
    <w:next w:val="1"/>
    <w:uiPriority w:val="0"/>
    <w:pPr>
      <w:ind w:left="840" w:leftChars="400"/>
    </w:pPr>
  </w:style>
  <w:style w:type="paragraph" w:customStyle="1" w:styleId="120">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1">
    <w:name w:val="1"/>
    <w:basedOn w:val="1"/>
    <w:uiPriority w:val="0"/>
    <w:pPr>
      <w:widowControl/>
      <w:adjustRightInd w:val="0"/>
      <w:spacing w:after="160" w:afterLines="0" w:line="240" w:lineRule="exact"/>
      <w:jc w:val="left"/>
      <w:textAlignment w:val="baseline"/>
    </w:pPr>
  </w:style>
  <w:style w:type="paragraph" w:customStyle="1" w:styleId="122">
    <w:name w:val="Body Text Indent1"/>
    <w:basedOn w:val="1"/>
    <w:uiPriority w:val="0"/>
    <w:pPr>
      <w:spacing w:after="120" w:afterLines="0"/>
      <w:ind w:left="420" w:leftChars="200"/>
    </w:pPr>
    <w:rPr>
      <w:rFonts w:eastAsia="仿宋_GB2312"/>
      <w:sz w:val="32"/>
    </w:rPr>
  </w:style>
  <w:style w:type="paragraph" w:customStyle="1" w:styleId="123">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24">
    <w:name w:val="页眉 New"/>
    <w:basedOn w:val="6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5">
    <w:name w:val="页眉 New New"/>
    <w:basedOn w:val="6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6">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27">
    <w:name w:val="Body Text First Indent 21"/>
    <w:basedOn w:val="122"/>
    <w:uiPriority w:val="0"/>
    <w:pPr>
      <w:spacing w:after="0" w:afterLines="0"/>
      <w:ind w:firstLine="420" w:firstLineChars="200"/>
    </w:pPr>
    <w:rPr>
      <w:rFonts w:ascii="Calibri" w:hAnsi="Calibri" w:cs="Calibri"/>
      <w:sz w:val="21"/>
      <w:szCs w:val="21"/>
    </w:rPr>
  </w:style>
  <w:style w:type="paragraph" w:customStyle="1" w:styleId="128">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29">
    <w:name w:val="页脚 New New New New New New New"/>
    <w:basedOn w:val="111"/>
    <w:uiPriority w:val="0"/>
    <w:pPr>
      <w:tabs>
        <w:tab w:val="center" w:pos="4153"/>
        <w:tab w:val="right" w:pos="8306"/>
      </w:tabs>
      <w:snapToGrid w:val="0"/>
      <w:jc w:val="left"/>
    </w:pPr>
    <w:rPr>
      <w:sz w:val="18"/>
    </w:rPr>
  </w:style>
  <w:style w:type="paragraph" w:customStyle="1" w:styleId="130">
    <w:name w:val="Char Char Char"/>
    <w:basedOn w:val="1"/>
    <w:uiPriority w:val="0"/>
    <w:pPr>
      <w:widowControl/>
      <w:spacing w:after="160" w:afterLines="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1147</Words>
  <Characters>6541</Characters>
  <Lines>54</Lines>
  <Paragraphs>15</Paragraphs>
  <TotalTime>2</TotalTime>
  <ScaleCrop>false</ScaleCrop>
  <LinksUpToDate>false</LinksUpToDate>
  <CharactersWithSpaces>7673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2023-01-10T14:26:00Z</dcterms:created>
  <dc:creator>user_common</dc:creator>
  <cp:lastModifiedBy>独身仙子</cp:lastModifiedBy>
  <cp:lastPrinted>2024-07-03T09:25:12Z</cp:lastPrinted>
  <dcterms:modified xsi:type="dcterms:W3CDTF">2024-07-03T10:50:07Z</dcterms:modified>
  <dc:title>淄博市周村区人民政府文件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