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b w:val="0"/>
          <w:bCs w:val="0"/>
          <w:sz w:val="30"/>
          <w:szCs w:val="30"/>
        </w:rPr>
      </w:pPr>
      <w:r>
        <w:rPr>
          <w:rFonts w:hint="eastAsia" w:ascii="方正小标宋简体" w:hAnsi="方正小标宋简体" w:eastAsia="方正小标宋简体" w:cs="方正小标宋简体"/>
          <w:b w:val="0"/>
          <w:bCs w:val="0"/>
          <w:sz w:val="30"/>
          <w:szCs w:val="30"/>
          <w:lang w:eastAsia="zh-CN"/>
        </w:rPr>
        <w:t>山东省</w:t>
      </w:r>
      <w:bookmarkStart w:id="0" w:name="_GoBack"/>
      <w:bookmarkEnd w:id="0"/>
      <w:r>
        <w:rPr>
          <w:rFonts w:hint="eastAsia" w:ascii="方正小标宋简体" w:hAnsi="方正小标宋简体" w:eastAsia="方正小标宋简体" w:cs="方正小标宋简体"/>
          <w:b w:val="0"/>
          <w:bCs w:val="0"/>
          <w:sz w:val="30"/>
          <w:szCs w:val="30"/>
        </w:rPr>
        <w:t>药品零售企业监督检查记录表</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华文中宋" w:hAnsi="华文中宋" w:cs="方正黑体_GBK"/>
          <w:b/>
          <w:bCs/>
          <w:sz w:val="21"/>
          <w:szCs w:val="21"/>
        </w:rPr>
      </w:pPr>
      <w:r>
        <w:rPr>
          <w:rFonts w:hint="eastAsia" w:ascii="华文中宋" w:hAnsi="华文中宋" w:cs="方正黑体_GBK"/>
          <w:b/>
          <w:bCs/>
          <w:sz w:val="21"/>
          <w:szCs w:val="21"/>
        </w:rPr>
        <w:t>□</w:t>
      </w:r>
      <w:r>
        <w:rPr>
          <w:rFonts w:hint="eastAsia" w:ascii="华文中宋" w:hAnsi="华文中宋" w:cs="方正黑体_GBK"/>
          <w:b/>
          <w:bCs/>
          <w:sz w:val="21"/>
          <w:szCs w:val="21"/>
          <w:lang w:eastAsia="zh-CN"/>
        </w:rPr>
        <w:t>日常</w:t>
      </w:r>
      <w:r>
        <w:rPr>
          <w:rFonts w:hint="eastAsia" w:ascii="华文中宋" w:hAnsi="华文中宋" w:cs="方正黑体_GBK"/>
          <w:b/>
          <w:bCs/>
          <w:sz w:val="21"/>
          <w:szCs w:val="21"/>
        </w:rPr>
        <w:t>检查</w:t>
      </w:r>
      <w:r>
        <w:rPr>
          <w:rFonts w:hint="eastAsia" w:ascii="华文中宋" w:hAnsi="华文中宋" w:cs="方正黑体_GBK"/>
          <w:b/>
          <w:bCs/>
          <w:sz w:val="21"/>
          <w:szCs w:val="21"/>
          <w:lang w:val="en-US" w:eastAsia="zh-CN"/>
        </w:rPr>
        <w:t xml:space="preserve">       </w:t>
      </w:r>
      <w:r>
        <w:rPr>
          <w:rFonts w:hint="eastAsia" w:ascii="华文中宋" w:hAnsi="华文中宋" w:cs="方正黑体_GBK"/>
          <w:b/>
          <w:bCs/>
          <w:sz w:val="21"/>
          <w:szCs w:val="21"/>
        </w:rPr>
        <w:sym w:font="Wingdings 2" w:char="00A3"/>
      </w:r>
      <w:r>
        <w:rPr>
          <w:rFonts w:hint="eastAsia" w:ascii="华文中宋" w:hAnsi="华文中宋" w:cs="方正黑体_GBK"/>
          <w:b/>
          <w:bCs/>
          <w:sz w:val="21"/>
          <w:szCs w:val="21"/>
        </w:rPr>
        <w:t xml:space="preserve">重点检查    </w:t>
      </w:r>
      <w:r>
        <w:rPr>
          <w:rFonts w:hint="eastAsia" w:ascii="华文中宋" w:hAnsi="华文中宋" w:eastAsia="华文中宋" w:cs="方正黑体_GBK"/>
          <w:b/>
          <w:bCs/>
          <w:sz w:val="21"/>
          <w:szCs w:val="21"/>
        </w:rPr>
        <w:t xml:space="preserve">   </w:t>
      </w:r>
      <w:r>
        <w:rPr>
          <w:rFonts w:hint="eastAsia" w:ascii="华文中宋" w:hAnsi="华文中宋" w:cs="方正黑体_GBK"/>
          <w:b/>
          <w:bCs/>
          <w:sz w:val="21"/>
          <w:szCs w:val="21"/>
        </w:rPr>
        <w:t xml:space="preserve">□有因检查  </w:t>
      </w:r>
      <w:r>
        <w:rPr>
          <w:rFonts w:hint="eastAsia" w:ascii="华文中宋" w:hAnsi="华文中宋" w:eastAsia="华文中宋" w:cs="方正黑体_GBK"/>
          <w:b/>
          <w:bCs/>
          <w:sz w:val="21"/>
          <w:szCs w:val="21"/>
        </w:rPr>
        <w:t xml:space="preserve">      </w:t>
      </w:r>
      <w:r>
        <w:rPr>
          <w:rFonts w:hint="eastAsia" w:ascii="华文中宋" w:hAnsi="华文中宋" w:cs="方正黑体_GBK"/>
          <w:b/>
          <w:bCs/>
          <w:sz w:val="21"/>
          <w:szCs w:val="21"/>
        </w:rPr>
        <w:t>□符合性检查</w:t>
      </w:r>
    </w:p>
    <w:tbl>
      <w:tblPr>
        <w:tblStyle w:val="4"/>
        <w:tblW w:w="1075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05"/>
        <w:gridCol w:w="3407"/>
        <w:gridCol w:w="73"/>
        <w:gridCol w:w="1785"/>
        <w:gridCol w:w="450"/>
        <w:gridCol w:w="945"/>
        <w:gridCol w:w="99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605" w:type="dxa"/>
            <w:gridSpan w:val="2"/>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被检查单位</w:t>
            </w:r>
          </w:p>
        </w:tc>
        <w:tc>
          <w:tcPr>
            <w:tcW w:w="3480" w:type="dxa"/>
            <w:gridSpan w:val="2"/>
            <w:tcBorders>
              <w:top w:val="single" w:color="auto" w:sz="4" w:space="0"/>
            </w:tcBorders>
            <w:vAlign w:val="center"/>
          </w:tcPr>
          <w:p>
            <w:pPr>
              <w:jc w:val="center"/>
              <w:rPr>
                <w:rFonts w:ascii="宋体" w:hAnsi="宋体" w:cs="方正仿宋_GBK"/>
                <w:sz w:val="18"/>
                <w:szCs w:val="18"/>
              </w:rPr>
            </w:pPr>
          </w:p>
        </w:tc>
        <w:tc>
          <w:tcPr>
            <w:tcW w:w="1785" w:type="dxa"/>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法定代表</w:t>
            </w:r>
            <w:r>
              <w:rPr>
                <w:rFonts w:hint="eastAsia" w:ascii="宋体" w:hAnsi="宋体" w:cs="方正仿宋_GBK"/>
                <w:sz w:val="18"/>
                <w:szCs w:val="18"/>
                <w:lang w:eastAsia="zh-CN"/>
              </w:rPr>
              <w:t>人</w:t>
            </w:r>
            <w:r>
              <w:rPr>
                <w:rFonts w:hint="eastAsia" w:ascii="宋体" w:hAnsi="宋体" w:cs="方正仿宋_GBK"/>
                <w:sz w:val="18"/>
                <w:szCs w:val="18"/>
              </w:rPr>
              <w:t>/负责人</w:t>
            </w:r>
          </w:p>
        </w:tc>
        <w:tc>
          <w:tcPr>
            <w:tcW w:w="1395" w:type="dxa"/>
            <w:gridSpan w:val="2"/>
            <w:tcBorders>
              <w:top w:val="single" w:color="auto" w:sz="4" w:space="0"/>
            </w:tcBorders>
            <w:vAlign w:val="center"/>
          </w:tcPr>
          <w:p>
            <w:pPr>
              <w:jc w:val="center"/>
              <w:rPr>
                <w:rFonts w:ascii="宋体" w:hAnsi="宋体" w:cs="方正仿宋_GBK"/>
                <w:sz w:val="18"/>
                <w:szCs w:val="18"/>
              </w:rPr>
            </w:pPr>
          </w:p>
        </w:tc>
        <w:tc>
          <w:tcPr>
            <w:tcW w:w="990" w:type="dxa"/>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联系电话</w:t>
            </w:r>
          </w:p>
        </w:tc>
        <w:tc>
          <w:tcPr>
            <w:tcW w:w="1500" w:type="dxa"/>
            <w:tcBorders>
              <w:top w:val="single" w:color="auto" w:sz="4" w:space="0"/>
            </w:tcBorders>
            <w:vAlign w:val="center"/>
          </w:tcPr>
          <w:p>
            <w:pPr>
              <w:jc w:val="center"/>
              <w:rPr>
                <w:rFonts w:ascii="宋体" w:hAnsi="宋体"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1605" w:type="dxa"/>
            <w:gridSpan w:val="2"/>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注</w:t>
            </w:r>
            <w:r>
              <w:rPr>
                <w:rFonts w:hint="eastAsia" w:ascii="宋体" w:hAnsi="宋体" w:cs="方正仿宋_GBK"/>
                <w:sz w:val="18"/>
                <w:szCs w:val="18"/>
                <w:lang w:val="en-US" w:eastAsia="zh-CN"/>
              </w:rPr>
              <w:t xml:space="preserve"> </w:t>
            </w:r>
            <w:r>
              <w:rPr>
                <w:rFonts w:hint="eastAsia" w:ascii="宋体" w:hAnsi="宋体" w:cs="方正仿宋_GBK"/>
                <w:sz w:val="18"/>
                <w:szCs w:val="18"/>
              </w:rPr>
              <w:t>册</w:t>
            </w:r>
            <w:r>
              <w:rPr>
                <w:rFonts w:hint="eastAsia" w:ascii="宋体" w:hAnsi="宋体" w:cs="方正仿宋_GBK"/>
                <w:sz w:val="18"/>
                <w:szCs w:val="18"/>
                <w:lang w:val="en-US" w:eastAsia="zh-CN"/>
              </w:rPr>
              <w:t xml:space="preserve"> </w:t>
            </w:r>
            <w:r>
              <w:rPr>
                <w:rFonts w:hint="eastAsia" w:ascii="宋体" w:hAnsi="宋体" w:cs="方正仿宋_GBK"/>
                <w:sz w:val="18"/>
                <w:szCs w:val="18"/>
              </w:rPr>
              <w:t>地</w:t>
            </w:r>
            <w:r>
              <w:rPr>
                <w:rFonts w:hint="eastAsia" w:ascii="宋体" w:hAnsi="宋体" w:cs="方正仿宋_GBK"/>
                <w:sz w:val="18"/>
                <w:szCs w:val="18"/>
                <w:lang w:val="en-US" w:eastAsia="zh-CN"/>
              </w:rPr>
              <w:t xml:space="preserve"> </w:t>
            </w:r>
            <w:r>
              <w:rPr>
                <w:rFonts w:hint="eastAsia" w:ascii="宋体" w:hAnsi="宋体" w:cs="方正仿宋_GBK"/>
                <w:sz w:val="18"/>
                <w:szCs w:val="18"/>
              </w:rPr>
              <w:t>址</w:t>
            </w:r>
          </w:p>
        </w:tc>
        <w:tc>
          <w:tcPr>
            <w:tcW w:w="3480" w:type="dxa"/>
            <w:gridSpan w:val="2"/>
            <w:tcBorders>
              <w:top w:val="single" w:color="auto" w:sz="4" w:space="0"/>
            </w:tcBorders>
            <w:vAlign w:val="center"/>
          </w:tcPr>
          <w:p>
            <w:pPr>
              <w:jc w:val="center"/>
              <w:rPr>
                <w:rFonts w:ascii="宋体" w:hAnsi="宋体" w:cs="方正仿宋_GBK"/>
                <w:sz w:val="18"/>
                <w:szCs w:val="18"/>
              </w:rPr>
            </w:pPr>
          </w:p>
        </w:tc>
        <w:tc>
          <w:tcPr>
            <w:tcW w:w="1785" w:type="dxa"/>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仓库地址</w:t>
            </w:r>
          </w:p>
        </w:tc>
        <w:tc>
          <w:tcPr>
            <w:tcW w:w="3885" w:type="dxa"/>
            <w:gridSpan w:val="4"/>
            <w:tcBorders>
              <w:top w:val="single" w:color="auto" w:sz="4" w:space="0"/>
            </w:tcBorders>
            <w:vAlign w:val="center"/>
          </w:tcPr>
          <w:p>
            <w:pPr>
              <w:jc w:val="center"/>
              <w:rPr>
                <w:rFonts w:ascii="宋体" w:hAnsi="宋体"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1605" w:type="dxa"/>
            <w:gridSpan w:val="2"/>
            <w:tcBorders>
              <w:top w:val="single" w:color="auto" w:sz="4" w:space="0"/>
            </w:tcBorders>
            <w:vAlign w:val="center"/>
          </w:tcPr>
          <w:p>
            <w:pPr>
              <w:jc w:val="center"/>
              <w:rPr>
                <w:rFonts w:ascii="宋体" w:hAnsi="宋体" w:cs="方正仿宋_GBK"/>
                <w:sz w:val="18"/>
                <w:szCs w:val="18"/>
              </w:rPr>
            </w:pPr>
            <w:r>
              <w:rPr>
                <w:rFonts w:hint="eastAsia" w:ascii="宋体" w:hAnsi="宋体" w:cs="方正仿宋_GBK"/>
                <w:sz w:val="18"/>
                <w:szCs w:val="18"/>
              </w:rPr>
              <w:t>许可证编号</w:t>
            </w:r>
          </w:p>
        </w:tc>
        <w:tc>
          <w:tcPr>
            <w:tcW w:w="9150" w:type="dxa"/>
            <w:gridSpan w:val="7"/>
            <w:tcBorders>
              <w:top w:val="single" w:color="auto" w:sz="4" w:space="0"/>
            </w:tcBorders>
            <w:vAlign w:val="center"/>
          </w:tcPr>
          <w:p>
            <w:pPr>
              <w:jc w:val="center"/>
              <w:rPr>
                <w:rFonts w:ascii="宋体" w:hAnsi="宋体"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600" w:type="dxa"/>
            <w:vAlign w:val="center"/>
          </w:tcPr>
          <w:p>
            <w:pPr>
              <w:jc w:val="center"/>
              <w:rPr>
                <w:rFonts w:ascii="宋体" w:hAnsi="宋体" w:cs="方正仿宋_GBK"/>
                <w:b/>
                <w:bCs/>
                <w:szCs w:val="21"/>
              </w:rPr>
            </w:pPr>
            <w:r>
              <w:rPr>
                <w:rFonts w:hint="eastAsia" w:ascii="宋体" w:hAnsi="宋体" w:cs="方正仿宋_GBK"/>
                <w:b/>
                <w:bCs/>
                <w:sz w:val="18"/>
                <w:szCs w:val="18"/>
              </w:rPr>
              <w:t>序号</w:t>
            </w:r>
          </w:p>
        </w:tc>
        <w:tc>
          <w:tcPr>
            <w:tcW w:w="6720" w:type="dxa"/>
            <w:gridSpan w:val="5"/>
            <w:vAlign w:val="center"/>
          </w:tcPr>
          <w:p>
            <w:pPr>
              <w:jc w:val="center"/>
              <w:rPr>
                <w:rFonts w:ascii="宋体" w:hAnsi="宋体" w:cs="方正仿宋_GBK"/>
                <w:b/>
                <w:bCs/>
                <w:szCs w:val="21"/>
              </w:rPr>
            </w:pPr>
            <w:r>
              <w:rPr>
                <w:rFonts w:hint="eastAsia" w:ascii="宋体" w:hAnsi="宋体"/>
                <w:b/>
                <w:bCs/>
                <w:szCs w:val="21"/>
              </w:rPr>
              <w:t>检查重点内容</w:t>
            </w:r>
          </w:p>
        </w:tc>
        <w:tc>
          <w:tcPr>
            <w:tcW w:w="3435" w:type="dxa"/>
            <w:gridSpan w:val="3"/>
            <w:vAlign w:val="center"/>
          </w:tcPr>
          <w:p>
            <w:pPr>
              <w:jc w:val="center"/>
              <w:rPr>
                <w:rFonts w:ascii="宋体" w:hAnsi="宋体" w:cs="方正仿宋_GBK"/>
                <w:b/>
                <w:bCs/>
                <w:szCs w:val="21"/>
              </w:rPr>
            </w:pPr>
            <w:r>
              <w:rPr>
                <w:rFonts w:hint="eastAsia" w:ascii="宋体" w:hAnsi="宋体" w:cs="方正仿宋_GBK"/>
                <w:b/>
                <w:bCs/>
                <w:szCs w:val="21"/>
              </w:rPr>
              <w:t>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许可证执行情况:是否擅自变更企业名称、注册地址、仓库地址、法定代表人、企业负责人、质量负责人等重要内容。是否有出租、出借许可证从事药品经营活动的行为。是否为他人提供药品经营、储存场所；为他人提供票据；挂靠经营，超方式、超范围经营。</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firstLine="288" w:firstLineChars="16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场所：是否擅自缩小营业面积，与许可面积不符。营业场所、仓库、办公、生活等区域是否分开并有隔离措施。营业场所和仓库是否卫生、整洁、干燥、无污染物，墙壁、顶棚光洁，地面平整、无缝隙；门窗结构严密牢固；周围环境整洁、无污染源。</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经营非药品是否设非药品专售区域并有明显的区域标志。营业场所内处方药与非处方药、内服药与外用药等是否分开陈列摆放，标志规范、醒目。</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人员及制度管理：是否设置质量管理、采购、验收、养护、保管及营业等岗位。各岗位人员是否进行法律法规及药品专业知识的岗前培训和继续培训。执业药师或药学技术人员是否在岗并能履行工作职责。★★企业制定质量管理体系文件是否符合企业实际。</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计算机管理系统：是否能覆盖企业内药品的购进、储存、销售以及经营和质量控制的全过程；能全面记录企业经营管理及实施《药品经营质量管理规范》方面的信息。</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储存陈列：是否按照药品说明书规定的常温、阴凉、冷藏等条件储存、陈列药品。营业场所和仓库是否配置监测和调节温、湿度的设备，经营冷藏药品的，是否有冷藏设备、阴凉柜（区、橱），并建立温湿度记录。 </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7</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连锁企业门店是否做到“七统一”，即统一企业标识、统一管理制度、统一计算机管理系统、统一人员培训、统一采购配送、统一票据管理、统一药学服务标准，门店不得自行采购药品。★★不得从无证单位或个人非法购进药品。</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hanging="1"/>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处方药管理：不得开架销售处方药。处方药是否凭医师处方销售，处方审核、调配、核对人员是否在处方上签字或盖章，处方留存齐全。</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★企业销售药品应当开具销售凭证，是否包括药品名称、生产厂商、数量、价格、批号、规格等内容。不得销售无合法批准文号或假冒伪劣、过期失效及标签不符合规定的药品。</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★★严禁销售麻醉药品、放射性药品、一类精神药品、蛋白同化制剂、肽类激素（胰岛素除外）、终止妊娠药品、药品类易制毒类化学品、疫苗等。销售含特殊药品复方制剂是否按规定实施管理。</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11</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★经营毒麻中药饮片、二类精神药品等特殊管理药品,经营含麻黄碱复方制剂的，是否配置存放药品的专柜以及保管用设备、工具、锁具等。</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购销管理：企业对首营企业和首营品种是否进行包括资格和质量保证能力的审核，对供货单位和购货单位进行合法性审核，审核资质材料留存齐备。★采购药品时，企业是否向供货单位索取发票。并按规定建立购进记录，做到票、帐、货相符，购进记录项目内容填写齐全，无漏写、简写。</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13</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经营中药饮片：营业场所是否配置符合卫生要求的调配处方和临方加工设施设备。中药饮片斗前药名书写是否使用正名正字。中药饮片装斗前是否做质量复核，不得错斗、串斗，防止混药，包装标示内容完整。</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14</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拆零管理：营业场所是否设立拆零专柜，并配有拆零工具及专用包装材料。拆零记录是否齐全；调配、拆零场所是否定期清洁消毒，保持工作环境卫生整洁。</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6720" w:type="dxa"/>
            <w:gridSpan w:val="5"/>
            <w:vAlign w:val="center"/>
          </w:tcPr>
          <w:p>
            <w:pPr>
              <w:keepNext w:val="0"/>
              <w:keepLines w:val="0"/>
              <w:pageBreakBefore w:val="0"/>
              <w:widowControl/>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其它不符合《药品经营质量管理规范》的问题。</w:t>
            </w:r>
          </w:p>
        </w:tc>
        <w:tc>
          <w:tcPr>
            <w:tcW w:w="3435" w:type="dxa"/>
            <w:gridSpan w:val="3"/>
            <w:vAlign w:val="center"/>
          </w:tcPr>
          <w:p>
            <w:pPr>
              <w:keepNext w:val="0"/>
              <w:keepLines w:val="0"/>
              <w:pageBreakBefore w:val="0"/>
              <w:kinsoku/>
              <w:wordWrap/>
              <w:overflowPunct/>
              <w:topLinePunct w:val="0"/>
              <w:autoSpaceDE/>
              <w:autoSpaceDN/>
              <w:bidi w:val="0"/>
              <w:adjustRightInd/>
              <w:spacing w:line="240" w:lineRule="exact"/>
              <w:ind w:left="0" w:leftChars="0" w:right="0" w:rightChars="0"/>
              <w:textAlignment w:val="auto"/>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trPr>
        <w:tc>
          <w:tcPr>
            <w:tcW w:w="600" w:type="dxa"/>
            <w:vAlign w:val="center"/>
          </w:tcPr>
          <w:p>
            <w:pPr>
              <w:keepNext w:val="0"/>
              <w:keepLines w:val="0"/>
              <w:pageBreakBefore w:val="0"/>
              <w:kinsoku/>
              <w:wordWrap/>
              <w:overflowPunct/>
              <w:topLinePunct w:val="0"/>
              <w:autoSpaceDE/>
              <w:autoSpaceDN/>
              <w:bidi w:val="0"/>
              <w:adjustRightInd/>
              <w:spacing w:line="240" w:lineRule="exact"/>
              <w:ind w:left="0" w:leftChars="0" w:right="0" w:rightChars="0"/>
              <w:jc w:val="center"/>
              <w:textAlignment w:val="auto"/>
              <w:rPr>
                <w:rFonts w:hint="eastAsia" w:ascii="宋体" w:hAnsi="宋体" w:eastAsia="宋体" w:cs="宋体"/>
                <w:sz w:val="18"/>
                <w:szCs w:val="18"/>
              </w:rPr>
            </w:pPr>
            <w:r>
              <w:rPr>
                <w:rFonts w:hint="eastAsia" w:ascii="宋体" w:hAnsi="宋体" w:eastAsia="宋体" w:cs="宋体"/>
                <w:b/>
                <w:bCs/>
                <w:sz w:val="18"/>
                <w:szCs w:val="18"/>
              </w:rPr>
              <w:t>检查处理意见</w:t>
            </w:r>
          </w:p>
        </w:tc>
        <w:tc>
          <w:tcPr>
            <w:tcW w:w="10155" w:type="dxa"/>
            <w:gridSpan w:val="8"/>
          </w:tcPr>
          <w:p>
            <w:pPr>
              <w:keepNext w:val="0"/>
              <w:keepLines w:val="0"/>
              <w:pageBreakBefore w:val="0"/>
              <w:widowControl/>
              <w:kinsoku/>
              <w:wordWrap/>
              <w:overflowPunct/>
              <w:topLinePunct w:val="0"/>
              <w:autoSpaceDE/>
              <w:autoSpaceDN/>
              <w:bidi w:val="0"/>
              <w:adjustRightInd/>
              <w:snapToGrid/>
              <w:spacing w:line="220" w:lineRule="exact"/>
              <w:ind w:left="0" w:leftChars="0" w:right="0" w:rightChars="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xml:space="preserve">    依据《药品管理法》、《药品经营质量管理规范》等法律法规，处理意见如下：</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□1、涉嫌违法，对违法违规行为依法进行查处。</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□2、责令你单位于</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年</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月</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日前整改存在的问题，并在以后严格执行药品GSP依法经营。</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□3、整改完成后，以书面形式将整改报告报</w:t>
            </w:r>
            <w:r>
              <w:rPr>
                <w:rFonts w:hint="eastAsia" w:ascii="宋体" w:hAnsi="宋体" w:eastAsia="宋体" w:cs="宋体"/>
                <w:color w:val="000000"/>
                <w:kern w:val="0"/>
                <w:sz w:val="18"/>
                <w:szCs w:val="18"/>
                <w:u w:val="single"/>
              </w:rPr>
              <w:t xml:space="preserve">      </w:t>
            </w:r>
            <w:r>
              <w:rPr>
                <w:rFonts w:hint="eastAsia" w:ascii="宋体" w:hAnsi="宋体" w:cs="宋体"/>
                <w:color w:val="000000"/>
                <w:kern w:val="0"/>
                <w:sz w:val="18"/>
                <w:szCs w:val="18"/>
                <w:u w:val="single"/>
                <w:lang w:val="en-US" w:eastAsia="zh-CN"/>
              </w:rPr>
              <w:t xml:space="preserve">                       </w:t>
            </w:r>
            <w:r>
              <w:rPr>
                <w:rFonts w:hint="eastAsia" w:ascii="宋体" w:hAnsi="宋体" w:eastAsia="宋体" w:cs="宋体"/>
                <w:color w:val="000000"/>
                <w:kern w:val="0"/>
                <w:sz w:val="18"/>
                <w:szCs w:val="18"/>
                <w:u w:val="single"/>
              </w:rPr>
              <w:t xml:space="preserve">     </w:t>
            </w:r>
            <w:r>
              <w:rPr>
                <w:rFonts w:hint="eastAsia" w:ascii="宋体" w:hAnsi="宋体" w:eastAsia="宋体" w:cs="宋体"/>
                <w:color w:val="000000"/>
                <w:kern w:val="0"/>
                <w:sz w:val="18"/>
                <w:szCs w:val="18"/>
              </w:rPr>
              <w:t>。</w:t>
            </w:r>
          </w:p>
          <w:p>
            <w:pPr>
              <w:keepNext w:val="0"/>
              <w:keepLines w:val="0"/>
              <w:pageBreakBefore w:val="0"/>
              <w:widowControl/>
              <w:kinsoku/>
              <w:wordWrap/>
              <w:overflowPunct/>
              <w:topLinePunct w:val="0"/>
              <w:autoSpaceDE/>
              <w:autoSpaceDN/>
              <w:bidi w:val="0"/>
              <w:adjustRightInd/>
              <w:snapToGrid/>
              <w:spacing w:line="220" w:lineRule="exact"/>
              <w:ind w:left="0" w:leftChars="0" w:right="0" w:rightChars="0" w:firstLine="360" w:firstLineChars="200"/>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市场监管部门将依法组织随机检查。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012" w:type="dxa"/>
            <w:gridSpan w:val="3"/>
          </w:tcPr>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被检查单位意见：</w:t>
            </w: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签名：                            （公章）</w:t>
            </w: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年   月   日</w:t>
            </w:r>
          </w:p>
        </w:tc>
        <w:tc>
          <w:tcPr>
            <w:tcW w:w="5743" w:type="dxa"/>
            <w:gridSpan w:val="6"/>
          </w:tcPr>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检查人员：</w:t>
            </w: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w:t>
            </w:r>
          </w:p>
          <w:p>
            <w:pPr>
              <w:keepNext w:val="0"/>
              <w:keepLines w:val="0"/>
              <w:pageBreakBefore w:val="0"/>
              <w:kinsoku/>
              <w:wordWrap/>
              <w:overflowPunct/>
              <w:topLinePunct w:val="0"/>
              <w:autoSpaceDE/>
              <w:autoSpaceDN/>
              <w:bidi w:val="0"/>
              <w:adjustRightInd/>
              <w:spacing w:line="240" w:lineRule="exact"/>
              <w:ind w:left="0" w:leftChars="0" w:right="0" w:rightChars="0"/>
              <w:jc w:val="left"/>
              <w:textAlignment w:val="auto"/>
              <w:rPr>
                <w:rFonts w:hint="eastAsia" w:ascii="宋体" w:hAnsi="宋体" w:eastAsia="宋体" w:cs="宋体"/>
                <w:sz w:val="18"/>
                <w:szCs w:val="18"/>
              </w:rPr>
            </w:pPr>
          </w:p>
          <w:p>
            <w:pPr>
              <w:keepNext w:val="0"/>
              <w:keepLines w:val="0"/>
              <w:pageBreakBefore w:val="0"/>
              <w:kinsoku/>
              <w:wordWrap/>
              <w:overflowPunct/>
              <w:topLinePunct w:val="0"/>
              <w:autoSpaceDE/>
              <w:autoSpaceDN/>
              <w:bidi w:val="0"/>
              <w:adjustRightInd/>
              <w:spacing w:line="240" w:lineRule="exact"/>
              <w:ind w:left="0" w:leftChars="0" w:right="0" w:rightChars="0" w:firstLine="5040" w:firstLineChars="2800"/>
              <w:jc w:val="left"/>
              <w:textAlignment w:val="auto"/>
              <w:rPr>
                <w:rFonts w:hint="eastAsia" w:ascii="宋体" w:hAnsi="宋体" w:eastAsia="宋体" w:cs="宋体"/>
                <w:sz w:val="18"/>
                <w:szCs w:val="18"/>
              </w:rPr>
            </w:pPr>
            <w:r>
              <w:rPr>
                <w:rFonts w:hint="eastAsia" w:ascii="宋体" w:hAnsi="宋体" w:eastAsia="宋体" w:cs="宋体"/>
                <w:sz w:val="18"/>
                <w:szCs w:val="18"/>
              </w:rPr>
              <w:t xml:space="preserve"> </w:t>
            </w:r>
          </w:p>
          <w:p>
            <w:pPr>
              <w:keepNext w:val="0"/>
              <w:keepLines w:val="0"/>
              <w:pageBreakBefore w:val="0"/>
              <w:kinsoku/>
              <w:wordWrap/>
              <w:overflowPunct/>
              <w:topLinePunct w:val="0"/>
              <w:autoSpaceDE/>
              <w:autoSpaceDN/>
              <w:bidi w:val="0"/>
              <w:adjustRightInd/>
              <w:spacing w:line="240" w:lineRule="exact"/>
              <w:ind w:right="0" w:rightChars="0"/>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（公章）                                        </w:t>
            </w:r>
          </w:p>
          <w:p>
            <w:pPr>
              <w:keepNext w:val="0"/>
              <w:keepLines w:val="0"/>
              <w:pageBreakBefore w:val="0"/>
              <w:kinsoku/>
              <w:wordWrap/>
              <w:overflowPunct/>
              <w:topLinePunct w:val="0"/>
              <w:autoSpaceDE/>
              <w:autoSpaceDN/>
              <w:bidi w:val="0"/>
              <w:adjustRightInd/>
              <w:spacing w:line="240" w:lineRule="exact"/>
              <w:ind w:right="0" w:rightChars="0"/>
              <w:jc w:val="center"/>
              <w:textAlignment w:val="auto"/>
              <w:rPr>
                <w:rFonts w:hint="eastAsia" w:ascii="宋体" w:hAnsi="宋体" w:eastAsia="宋体" w:cs="宋体"/>
                <w:sz w:val="18"/>
                <w:szCs w:val="18"/>
              </w:rPr>
            </w:pPr>
            <w:r>
              <w:rPr>
                <w:rFonts w:hint="eastAsia" w:ascii="宋体" w:hAnsi="宋体" w:cs="宋体"/>
                <w:sz w:val="18"/>
                <w:szCs w:val="18"/>
                <w:lang w:val="en-US" w:eastAsia="zh-CN"/>
              </w:rPr>
              <w:t xml:space="preserve">                                 </w:t>
            </w:r>
            <w:r>
              <w:rPr>
                <w:rFonts w:hint="eastAsia" w:ascii="宋体" w:hAnsi="宋体" w:eastAsia="宋体" w:cs="宋体"/>
                <w:sz w:val="18"/>
                <w:szCs w:val="18"/>
              </w:rPr>
              <w:t>年   月   日</w:t>
            </w:r>
          </w:p>
        </w:tc>
      </w:tr>
    </w:tbl>
    <w:p>
      <w:pPr>
        <w:keepNext w:val="0"/>
        <w:keepLines w:val="0"/>
        <w:pageBreakBefore w:val="0"/>
        <w:kinsoku/>
        <w:wordWrap/>
        <w:overflowPunct/>
        <w:topLinePunct w:val="0"/>
        <w:autoSpaceDE/>
        <w:autoSpaceDN/>
        <w:bidi w:val="0"/>
        <w:adjustRightInd/>
        <w:snapToGrid w:val="0"/>
        <w:spacing w:line="240" w:lineRule="exact"/>
        <w:ind w:left="0" w:leftChars="0" w:right="0" w:rightChars="0"/>
        <w:textAlignment w:val="auto"/>
        <w:rPr>
          <w:rFonts w:hint="eastAsia" w:ascii="宋体" w:hAnsi="宋体" w:eastAsia="宋体" w:cs="宋体"/>
          <w:sz w:val="18"/>
          <w:szCs w:val="18"/>
          <w:lang w:eastAsia="zh-CN"/>
        </w:rPr>
      </w:pPr>
      <w:r>
        <w:rPr>
          <w:rFonts w:hint="eastAsia" w:ascii="宋体" w:hAnsi="宋体" w:cs="宋体"/>
          <w:sz w:val="18"/>
          <w:szCs w:val="18"/>
          <w:lang w:eastAsia="zh-CN"/>
        </w:rPr>
        <w:t>注：本文书一式二份，一份归入药品经营企业监管档案，一份由被检查单位保存。</w:t>
      </w:r>
    </w:p>
    <w:sectPr>
      <w:pgSz w:w="11906" w:h="16838"/>
      <w:pgMar w:top="600" w:right="1134" w:bottom="57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Arial Unicode MS"/>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2143A18"/>
    <w:rsid w:val="000D15F6"/>
    <w:rsid w:val="000E5C79"/>
    <w:rsid w:val="00100CBB"/>
    <w:rsid w:val="001653BF"/>
    <w:rsid w:val="00222096"/>
    <w:rsid w:val="0023561F"/>
    <w:rsid w:val="002505CE"/>
    <w:rsid w:val="002529ED"/>
    <w:rsid w:val="00267AF8"/>
    <w:rsid w:val="00276627"/>
    <w:rsid w:val="002C4597"/>
    <w:rsid w:val="0030594E"/>
    <w:rsid w:val="00334705"/>
    <w:rsid w:val="003639F8"/>
    <w:rsid w:val="00372074"/>
    <w:rsid w:val="00382011"/>
    <w:rsid w:val="003C4358"/>
    <w:rsid w:val="003C7B84"/>
    <w:rsid w:val="003F20C5"/>
    <w:rsid w:val="00471E94"/>
    <w:rsid w:val="00475019"/>
    <w:rsid w:val="005C56AE"/>
    <w:rsid w:val="00621603"/>
    <w:rsid w:val="0062313D"/>
    <w:rsid w:val="006F741A"/>
    <w:rsid w:val="00725D1A"/>
    <w:rsid w:val="007F573B"/>
    <w:rsid w:val="00822BD5"/>
    <w:rsid w:val="0091240B"/>
    <w:rsid w:val="009A1A3D"/>
    <w:rsid w:val="009A480B"/>
    <w:rsid w:val="00B11A0C"/>
    <w:rsid w:val="00B31CD3"/>
    <w:rsid w:val="00B37A78"/>
    <w:rsid w:val="00B40044"/>
    <w:rsid w:val="00B93E6C"/>
    <w:rsid w:val="00BD0CFC"/>
    <w:rsid w:val="00C24D0A"/>
    <w:rsid w:val="00D03FAF"/>
    <w:rsid w:val="00FF6BAC"/>
    <w:rsid w:val="032063E9"/>
    <w:rsid w:val="04D20AA1"/>
    <w:rsid w:val="08CC6799"/>
    <w:rsid w:val="0E4D22F0"/>
    <w:rsid w:val="143F6CCA"/>
    <w:rsid w:val="157C02E6"/>
    <w:rsid w:val="1D0A34EA"/>
    <w:rsid w:val="1F396594"/>
    <w:rsid w:val="1FB2355C"/>
    <w:rsid w:val="227118C9"/>
    <w:rsid w:val="2B8B14CE"/>
    <w:rsid w:val="2D247EA4"/>
    <w:rsid w:val="2D8F4AD9"/>
    <w:rsid w:val="2EC26070"/>
    <w:rsid w:val="32143A18"/>
    <w:rsid w:val="344A2B2D"/>
    <w:rsid w:val="3B4563E6"/>
    <w:rsid w:val="408234BF"/>
    <w:rsid w:val="44260DFD"/>
    <w:rsid w:val="466805D0"/>
    <w:rsid w:val="4BED29D3"/>
    <w:rsid w:val="4D460D92"/>
    <w:rsid w:val="4F8E7F3F"/>
    <w:rsid w:val="52B32730"/>
    <w:rsid w:val="561E5D9E"/>
    <w:rsid w:val="5BF019C7"/>
    <w:rsid w:val="61900250"/>
    <w:rsid w:val="6689383F"/>
    <w:rsid w:val="68A7552E"/>
    <w:rsid w:val="69224204"/>
    <w:rsid w:val="7082455D"/>
    <w:rsid w:val="7791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1316</Words>
  <Characters>7504</Characters>
  <Lines>62</Lines>
  <Paragraphs>17</Paragraphs>
  <TotalTime>1</TotalTime>
  <ScaleCrop>false</ScaleCrop>
  <LinksUpToDate>false</LinksUpToDate>
  <CharactersWithSpaces>8803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2020-05-22T00:56:00Z</dcterms:created>
  <dc:creator>lenovo</dc:creator>
  <cp:lastModifiedBy>Administrator</cp:lastModifiedBy>
  <cp:lastPrinted>2020-09-21T07:14:00Z</cp:lastPrinted>
  <dcterms:modified xsi:type="dcterms:W3CDTF">2020-12-22T06:10:54Z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