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z w:val="44"/>
          <w:szCs w:val="44"/>
          <w:lang w:eastAsia="zh-CN"/>
        </w:rPr>
        <w:t>周村区文化和旅游局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val="en-US" w:eastAsia="zh-CN"/>
        </w:rPr>
        <w:t>2020年度</w:t>
      </w:r>
      <w:r>
        <w:rPr>
          <w:rFonts w:hint="default" w:ascii="Times New Roman" w:hAnsi="Times New Roman" w:eastAsia="方正小标宋简体" w:cs="Times New Roman"/>
          <w:bCs/>
          <w:sz w:val="44"/>
          <w:szCs w:val="44"/>
        </w:rPr>
        <w:t>政府信息公开工作报告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本年报是根据《中华人民共和国政府信息公开条例》要求，由周村区文化和旅游局编制。全文包括</w:t>
      </w:r>
      <w:r>
        <w:rPr>
          <w:rFonts w:hint="default" w:ascii="Times New Roman" w:hAnsi="Times New Roman" w:eastAsia="仿宋_GB2312" w:cs="Times New Roman"/>
          <w:sz w:val="32"/>
          <w:szCs w:val="32"/>
          <w:lang w:eastAsia="zh-CN"/>
        </w:rPr>
        <w:t>总体情况</w:t>
      </w:r>
      <w:r>
        <w:rPr>
          <w:rFonts w:hint="default" w:ascii="Times New Roman" w:hAnsi="Times New Roman" w:eastAsia="仿宋_GB2312" w:cs="Times New Roman"/>
          <w:sz w:val="32"/>
          <w:szCs w:val="32"/>
        </w:rPr>
        <w:t>、主动公开政府信息情况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收到和处理政府信息公开申请情况、政府信息公开行政复议、行政诉讼情况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存在的主要问题及改进情况</w:t>
      </w:r>
      <w:r>
        <w:rPr>
          <w:rFonts w:hint="default" w:ascii="Times New Roman" w:hAnsi="Times New Roman" w:eastAsia="仿宋_GB2312" w:cs="Times New Roman"/>
          <w:sz w:val="32"/>
          <w:szCs w:val="32"/>
          <w:lang w:eastAsia="zh-CN"/>
        </w:rPr>
        <w:t>和其他需要报告的事项</w:t>
      </w:r>
      <w:r>
        <w:rPr>
          <w:rFonts w:hint="default" w:ascii="Times New Roman" w:hAnsi="Times New Roman" w:eastAsia="仿宋_GB2312" w:cs="Times New Roman"/>
          <w:sz w:val="32"/>
          <w:szCs w:val="32"/>
        </w:rPr>
        <w:t>等部分。统计数据时限为2020年1月1日至2020年12月31日。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2020年底，我局政府信息公开工作运行正常。一年来，我局把政府信息公开工作作为加强党风廉政建设、转变工作作风、提高工作效能、宣传文化工作的重要举措，严格按照《政府信息主动公开基本目录》和《政府信息公开指南》要求，扎实开展信息公开日常工作，及时宣传工作动态，加强群众对文化</w:t>
      </w:r>
      <w:r>
        <w:rPr>
          <w:rFonts w:hint="default" w:ascii="Times New Roman" w:hAnsi="Times New Roman" w:eastAsia="仿宋_GB2312" w:cs="Times New Roman"/>
          <w:sz w:val="32"/>
          <w:szCs w:val="32"/>
          <w:lang w:eastAsia="zh-CN"/>
        </w:rPr>
        <w:t>旅游</w:t>
      </w:r>
      <w:r>
        <w:rPr>
          <w:rFonts w:hint="default" w:ascii="Times New Roman" w:hAnsi="Times New Roman" w:eastAsia="仿宋_GB2312" w:cs="Times New Roman"/>
          <w:sz w:val="32"/>
          <w:szCs w:val="32"/>
        </w:rPr>
        <w:t>工作的了解，确保了政府信息公开工作落实到位。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eastAsia="仿宋_GB2312" w:cs="Times New Roman"/>
          <w:sz w:val="32"/>
          <w:szCs w:val="32"/>
        </w:rPr>
      </w:pPr>
      <w:r>
        <w:rPr>
          <w:rFonts w:ascii="楷体" w:hAnsi="楷体" w:eastAsia="楷体" w:cs="楷体"/>
          <w:i w:val="0"/>
          <w:caps w:val="0"/>
          <w:color w:val="000000"/>
          <w:spacing w:val="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2020年主动公开政府信息100余条，公开范围涉及部门职责、行政法规、行政执法依据及事项、权利清单、财务收支、决算预算、“三重一大”事项、文化和旅游工作动态、人事变动、管理制度等内容。</w:t>
      </w:r>
      <w:r>
        <w:rPr>
          <w:rFonts w:hint="default" w:ascii="Times New Roman" w:hAnsi="Times New Roman" w:eastAsia="仿宋_GB2312" w:cs="Times New Roman"/>
          <w:sz w:val="32"/>
          <w:szCs w:val="32"/>
        </w:rPr>
        <w:t>共收到政协提案20件，其中主办9件，协办11件；重点提案4件，其中主办重点提案2件，协办重点提案2件。内容涉及文化阵地建设、文化遗产保护利用、文化传承、文旅融合发展等多想重点工作，办理工作全部按时完成。共承办人大代表建议0件</w:t>
      </w:r>
      <w:r>
        <w:rPr>
          <w:rFonts w:hint="default" w:ascii="Times New Roman" w:hAnsi="Times New Roman" w:eastAsia="仿宋_GB2312" w:cs="Times New Roman"/>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eastAsia="仿宋_GB2312" w:cs="Times New Roman"/>
          <w:sz w:val="32"/>
          <w:szCs w:val="32"/>
          <w:lang w:eastAsia="zh-CN"/>
        </w:rPr>
      </w:pPr>
      <w:r>
        <w:rPr>
          <w:rFonts w:hint="eastAsia" w:ascii="楷体" w:hAnsi="楷体" w:eastAsia="楷体" w:cs="楷体"/>
          <w:i w:val="0"/>
          <w:caps w:val="0"/>
          <w:color w:val="000000"/>
          <w:spacing w:val="0"/>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微软雅黑" w:eastAsia="仿宋_GB2312" w:cs="仿宋_GB2312"/>
          <w:i w:val="0"/>
          <w:caps w:val="0"/>
          <w:color w:val="000000"/>
          <w:spacing w:val="0"/>
          <w:sz w:val="32"/>
          <w:szCs w:val="32"/>
        </w:rPr>
        <w:t>我局依申请提供政府信息，不收取费用。</w:t>
      </w:r>
      <w:r>
        <w:rPr>
          <w:rFonts w:hint="default" w:ascii="Times New Roman" w:hAnsi="Times New Roman" w:eastAsia="仿宋_GB2312" w:cs="Times New Roman"/>
          <w:sz w:val="32"/>
          <w:szCs w:val="32"/>
          <w:lang w:eastAsia="zh-CN"/>
        </w:rPr>
        <w:t>全年共收到公民、法人和其他组织通过各种形式提出的信息公开申请</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件</w:t>
      </w:r>
      <w:r>
        <w:rPr>
          <w:rFonts w:hint="eastAsia" w:ascii="Times New Roman" w:hAnsi="Times New Roman" w:eastAsia="仿宋_GB2312" w:cs="Times New Roman"/>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Times New Roman" w:hAnsi="Times New Roman" w:eastAsia="仿宋_GB2312" w:cs="Times New Roman"/>
          <w:sz w:val="32"/>
          <w:szCs w:val="32"/>
          <w:lang w:eastAsia="zh-CN"/>
        </w:rPr>
      </w:pPr>
      <w:r>
        <w:rPr>
          <w:rFonts w:hint="eastAsia" w:ascii="楷体" w:hAnsi="楷体" w:eastAsia="楷体" w:cs="楷体"/>
          <w:i w:val="0"/>
          <w:caps w:val="0"/>
          <w:color w:val="000000"/>
          <w:spacing w:val="0"/>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建立政府信息主动公开工作制度和政府信息公开申请受理制度，规范和完善工作流程，不断加大政府信息公开力度，使政府信息公开内容更加丰富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制定《政务公开工作计划》，明确责任、程序、公开方式和时限要求，以文件的形式下发系统各单位、各科室，组织对科室政府信息发布工作进行考核，并在单位内部进行通报</w:t>
      </w:r>
      <w:r>
        <w:rPr>
          <w:rFonts w:hint="eastAsia" w:ascii="Times New Roman" w:hAnsi="Times New Roman" w:eastAsia="仿宋_GB2312" w:cs="Times New Roman"/>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楷体" w:hAnsi="楷体" w:eastAsia="楷体" w:cs="楷体"/>
          <w:i w:val="0"/>
          <w:caps w:val="0"/>
          <w:color w:val="000000"/>
          <w:spacing w:val="0"/>
          <w:sz w:val="32"/>
          <w:szCs w:val="32"/>
        </w:rPr>
        <w:t>（四）平台、机构建设和人员情况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lang w:eastAsia="zh-CN"/>
        </w:rPr>
      </w:pPr>
      <w:r>
        <w:rPr>
          <w:rFonts w:hint="eastAsia" w:ascii="仿宋_GB2312" w:hAnsi="微软雅黑" w:eastAsia="仿宋_GB2312" w:cs="仿宋_GB2312"/>
          <w:i w:val="0"/>
          <w:caps w:val="0"/>
          <w:color w:val="000000"/>
          <w:spacing w:val="0"/>
          <w:sz w:val="32"/>
          <w:szCs w:val="32"/>
        </w:rPr>
        <w:t>按照上级政府信息公开要求，坚持“以公开为常态”原则，及时调整信息公开工作领导小组，明确分管负责领导，</w:t>
      </w:r>
      <w:r>
        <w:rPr>
          <w:rFonts w:hint="default" w:ascii="Times New Roman" w:hAnsi="Times New Roman" w:eastAsia="仿宋_GB2312" w:cs="Times New Roman"/>
          <w:sz w:val="32"/>
          <w:szCs w:val="32"/>
        </w:rPr>
        <w:t>明确由文化和旅游保障科作为本局政府信息公开工作机构，具体负责本单位政府信息公开的日常工作</w:t>
      </w:r>
      <w:r>
        <w:rPr>
          <w:rFonts w:hint="eastAsia" w:ascii="仿宋_GB2312" w:hAnsi="微软雅黑" w:eastAsia="仿宋_GB2312" w:cs="仿宋_GB2312"/>
          <w:i w:val="0"/>
          <w:caps w:val="0"/>
          <w:color w:val="000000"/>
          <w:spacing w:val="0"/>
          <w:sz w:val="32"/>
          <w:szCs w:val="32"/>
        </w:rPr>
        <w:t>。研究制定《政务公开工作实施方案》，切实抓好信息公开工作落实。积极推进网站平台建设，按照政府信息公开条例的要求调整扩大公开范围，加大信息公开量，细化公开内容，不断完善政务公开和公共</w:t>
      </w:r>
      <w:r>
        <w:rPr>
          <w:rFonts w:hint="eastAsia" w:ascii="仿宋_GB2312" w:hAnsi="微软雅黑" w:eastAsia="仿宋_GB2312" w:cs="仿宋_GB2312"/>
          <w:i w:val="0"/>
          <w:caps w:val="0"/>
          <w:color w:val="000000"/>
          <w:spacing w:val="0"/>
          <w:sz w:val="32"/>
          <w:szCs w:val="32"/>
          <w:lang w:eastAsia="zh-CN"/>
        </w:rPr>
        <w:t>文化</w:t>
      </w:r>
      <w:r>
        <w:rPr>
          <w:rFonts w:hint="eastAsia" w:ascii="仿宋_GB2312" w:hAnsi="微软雅黑" w:eastAsia="仿宋_GB2312" w:cs="仿宋_GB2312"/>
          <w:i w:val="0"/>
          <w:caps w:val="0"/>
          <w:color w:val="000000"/>
          <w:spacing w:val="0"/>
          <w:sz w:val="32"/>
          <w:szCs w:val="32"/>
        </w:rPr>
        <w:t>服务功能。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eastAsia="仿宋_GB2312" w:cs="Times New Roman"/>
          <w:sz w:val="32"/>
          <w:szCs w:val="32"/>
        </w:rPr>
      </w:pPr>
      <w:r>
        <w:rPr>
          <w:rFonts w:hint="eastAsia" w:ascii="楷体" w:hAnsi="楷体" w:eastAsia="楷体" w:cs="楷体"/>
          <w:i w:val="0"/>
          <w:caps w:val="0"/>
          <w:color w:val="000000"/>
          <w:spacing w:val="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信息公开监督保障机制。对政府信息公开工作进行严格监督，发现问题及时整改，确保政府信息公开工作不出现任何问题。在政府信息公开指南和政府信息主动公开基本目录中公开监督举报受理部门和联系方式，接受公众对我局政府信息公开工作的监督。接受第三方评估机构的评议，并及时整改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ascii="楷体_GB2312" w:hAnsi="微软雅黑" w:eastAsia="楷体_GB2312" w:cs="楷体_GB2312"/>
          <w:i w:val="0"/>
          <w:caps w:val="0"/>
          <w:color w:val="000000"/>
          <w:spacing w:val="0"/>
          <w:sz w:val="32"/>
          <w:szCs w:val="32"/>
        </w:rPr>
        <w:t>（</w:t>
      </w:r>
      <w:r>
        <w:rPr>
          <w:rFonts w:hint="eastAsia" w:ascii="楷体_GB2312" w:hAnsi="微软雅黑" w:eastAsia="楷体_GB2312" w:cs="楷体_GB2312"/>
          <w:i w:val="0"/>
          <w:caps w:val="0"/>
          <w:color w:val="000000"/>
          <w:spacing w:val="0"/>
          <w:sz w:val="32"/>
          <w:szCs w:val="32"/>
          <w:lang w:eastAsia="zh-CN"/>
        </w:rPr>
        <w:t>六</w:t>
      </w:r>
      <w:r>
        <w:rPr>
          <w:rFonts w:ascii="楷体_GB2312" w:hAnsi="微软雅黑" w:eastAsia="楷体_GB2312" w:cs="楷体_GB2312"/>
          <w:i w:val="0"/>
          <w:caps w:val="0"/>
          <w:color w:val="000000"/>
          <w:spacing w:val="0"/>
          <w:sz w:val="32"/>
          <w:szCs w:val="32"/>
        </w:rPr>
        <w:t>）社会评议、考核情况</w:t>
      </w:r>
    </w:p>
    <w:p>
      <w:pPr>
        <w:pStyle w:val="2"/>
        <w:rPr>
          <w:rFonts w:hint="default"/>
        </w:rPr>
      </w:pPr>
      <w:r>
        <w:rPr>
          <w:rFonts w:hint="eastAsia" w:ascii="仿宋_GB2312" w:hAnsi="微软雅黑" w:eastAsia="仿宋_GB2312" w:cs="仿宋_GB2312"/>
          <w:i w:val="0"/>
          <w:caps w:val="0"/>
          <w:color w:val="000000"/>
          <w:spacing w:val="0"/>
          <w:sz w:val="32"/>
          <w:szCs w:val="32"/>
        </w:rPr>
        <w:t>举行“市民代表看</w:t>
      </w:r>
      <w:r>
        <w:rPr>
          <w:rFonts w:hint="eastAsia" w:ascii="仿宋_GB2312" w:hAnsi="微软雅黑" w:eastAsia="仿宋_GB2312" w:cs="仿宋_GB2312"/>
          <w:i w:val="0"/>
          <w:caps w:val="0"/>
          <w:color w:val="000000"/>
          <w:spacing w:val="0"/>
          <w:sz w:val="32"/>
          <w:szCs w:val="32"/>
          <w:lang w:eastAsia="zh-CN"/>
        </w:rPr>
        <w:t>文化风貌</w:t>
      </w:r>
      <w:r>
        <w:rPr>
          <w:rFonts w:hint="eastAsia" w:ascii="仿宋_GB2312" w:hAnsi="微软雅黑" w:eastAsia="仿宋_GB2312" w:cs="仿宋_GB2312"/>
          <w:i w:val="0"/>
          <w:caps w:val="0"/>
          <w:color w:val="000000"/>
          <w:spacing w:val="0"/>
          <w:sz w:val="32"/>
          <w:szCs w:val="32"/>
        </w:rPr>
        <w:t>”活动，收集意见建议，查找</w:t>
      </w:r>
      <w:r>
        <w:rPr>
          <w:rFonts w:hint="eastAsia" w:ascii="仿宋_GB2312" w:hAnsi="微软雅黑" w:eastAsia="仿宋_GB2312" w:cs="仿宋_GB2312"/>
          <w:i w:val="0"/>
          <w:caps w:val="0"/>
          <w:color w:val="000000"/>
          <w:spacing w:val="0"/>
          <w:sz w:val="32"/>
          <w:szCs w:val="32"/>
          <w:lang w:eastAsia="zh-CN"/>
        </w:rPr>
        <w:t>文旅</w:t>
      </w:r>
      <w:r>
        <w:rPr>
          <w:rFonts w:hint="eastAsia" w:ascii="仿宋_GB2312" w:hAnsi="微软雅黑" w:eastAsia="仿宋_GB2312" w:cs="仿宋_GB2312"/>
          <w:i w:val="0"/>
          <w:caps w:val="0"/>
          <w:color w:val="000000"/>
          <w:spacing w:val="0"/>
          <w:sz w:val="32"/>
          <w:szCs w:val="32"/>
        </w:rPr>
        <w:t>系统相关工作存在的不足。把监督评</w:t>
      </w:r>
      <w:bookmarkStart w:id="0" w:name="_GoBack"/>
      <w:bookmarkEnd w:id="0"/>
      <w:r>
        <w:rPr>
          <w:rFonts w:hint="eastAsia" w:ascii="仿宋_GB2312" w:hAnsi="微软雅黑" w:eastAsia="仿宋_GB2312" w:cs="仿宋_GB2312"/>
          <w:i w:val="0"/>
          <w:caps w:val="0"/>
          <w:color w:val="000000"/>
          <w:spacing w:val="0"/>
          <w:sz w:val="32"/>
          <w:szCs w:val="32"/>
        </w:rPr>
        <w:t>议、网络评议纳入日常工作，实行动态管理，设立投诉举报电话、邮箱，并在周村区</w:t>
      </w:r>
      <w:r>
        <w:rPr>
          <w:rFonts w:hint="eastAsia" w:ascii="仿宋_GB2312" w:hAnsi="微软雅黑" w:eastAsia="仿宋_GB2312" w:cs="仿宋_GB2312"/>
          <w:i w:val="0"/>
          <w:caps w:val="0"/>
          <w:color w:val="000000"/>
          <w:spacing w:val="0"/>
          <w:sz w:val="32"/>
          <w:szCs w:val="32"/>
          <w:lang w:eastAsia="zh-CN"/>
        </w:rPr>
        <w:t>文化和旅游</w:t>
      </w:r>
      <w:r>
        <w:rPr>
          <w:rFonts w:hint="eastAsia" w:ascii="仿宋_GB2312" w:hAnsi="微软雅黑" w:eastAsia="仿宋_GB2312" w:cs="仿宋_GB2312"/>
          <w:i w:val="0"/>
          <w:caps w:val="0"/>
          <w:color w:val="000000"/>
          <w:spacing w:val="0"/>
          <w:sz w:val="32"/>
          <w:szCs w:val="32"/>
        </w:rPr>
        <w:t>局政府信息公开指南中对社会公开，接受群众监督评议。2020年我局政务公开工作考核成绩为“优秀”等次。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主动公开政府信息情况</w:t>
      </w:r>
    </w:p>
    <w:tbl>
      <w:tblPr>
        <w:tblStyle w:val="5"/>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本年新制作数量</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本年新公开数量</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规章</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规范性文件</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上一年项目数量</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本年增/减</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行政许可</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其他对外管理服务事项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上一年项目数量</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本年增/减</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行政处罚</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9</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行政强制</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上一年项目数量</w:t>
            </w:r>
          </w:p>
        </w:tc>
        <w:tc>
          <w:tcPr>
            <w:tcW w:w="42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行政事业性收费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42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采购项目数量</w:t>
            </w:r>
          </w:p>
        </w:tc>
        <w:tc>
          <w:tcPr>
            <w:tcW w:w="42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政府集中采购</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w:t>
            </w:r>
          </w:p>
        </w:tc>
        <w:tc>
          <w:tcPr>
            <w:tcW w:w="42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6287508.72</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收到和处理政府信息公开申请情况</w:t>
      </w:r>
    </w:p>
    <w:tbl>
      <w:tblPr>
        <w:tblStyle w:val="5"/>
        <w:tblW w:w="8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494"/>
        <w:gridCol w:w="543"/>
        <w:gridCol w:w="559"/>
        <w:gridCol w:w="532"/>
        <w:gridCol w:w="518"/>
        <w:gridCol w:w="53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820" w:type="dxa"/>
            <w:gridSpan w:val="3"/>
            <w:vMerge w:val="restart"/>
            <w:vAlign w:val="center"/>
          </w:tcPr>
          <w:p>
            <w:pP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028" w:type="dxa"/>
            <w:gridSpan w:val="7"/>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4820" w:type="dxa"/>
            <w:gridSpan w:val="3"/>
            <w:vMerge w:val="continue"/>
            <w:vAlign w:val="top"/>
          </w:tcPr>
          <w:p>
            <w:pPr>
              <w:rPr>
                <w:rFonts w:hint="default" w:ascii="Times New Roman" w:hAnsi="Times New Roman" w:cs="Times New Roman"/>
              </w:rPr>
            </w:pPr>
          </w:p>
        </w:tc>
        <w:tc>
          <w:tcPr>
            <w:tcW w:w="494"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自</w:t>
            </w:r>
          </w:p>
          <w:p>
            <w:pPr>
              <w:jc w:val="center"/>
              <w:rPr>
                <w:rFonts w:hint="default" w:ascii="Times New Roman" w:hAnsi="Times New Roman" w:cs="Times New Roman"/>
                <w:szCs w:val="21"/>
              </w:rPr>
            </w:pPr>
            <w:r>
              <w:rPr>
                <w:rFonts w:hint="default" w:ascii="Times New Roman" w:hAnsi="Times New Roman" w:cs="Times New Roman"/>
                <w:szCs w:val="21"/>
              </w:rPr>
              <w:t>然</w:t>
            </w:r>
          </w:p>
          <w:p>
            <w:pPr>
              <w:jc w:val="center"/>
              <w:rPr>
                <w:rFonts w:hint="default" w:ascii="Times New Roman" w:hAnsi="Times New Roman" w:cs="Times New Roman"/>
                <w:sz w:val="18"/>
                <w:szCs w:val="18"/>
              </w:rPr>
            </w:pPr>
            <w:r>
              <w:rPr>
                <w:rFonts w:hint="default" w:ascii="Times New Roman" w:hAnsi="Times New Roman" w:cs="Times New Roman"/>
                <w:szCs w:val="21"/>
              </w:rPr>
              <w:t>人</w:t>
            </w:r>
          </w:p>
        </w:tc>
        <w:tc>
          <w:tcPr>
            <w:tcW w:w="2684"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850"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4820" w:type="dxa"/>
            <w:gridSpan w:val="3"/>
            <w:vMerge w:val="continue"/>
            <w:vAlign w:val="top"/>
          </w:tcPr>
          <w:p>
            <w:pPr>
              <w:rPr>
                <w:rFonts w:hint="default" w:ascii="Times New Roman" w:hAnsi="Times New Roman" w:cs="Times New Roman"/>
              </w:rPr>
            </w:pPr>
          </w:p>
        </w:tc>
        <w:tc>
          <w:tcPr>
            <w:tcW w:w="494" w:type="dxa"/>
            <w:vMerge w:val="continue"/>
            <w:vAlign w:val="top"/>
          </w:tcPr>
          <w:p>
            <w:pPr>
              <w:rPr>
                <w:rFonts w:hint="default" w:ascii="Times New Roman" w:hAnsi="Times New Roman" w:cs="Times New Roman"/>
                <w:sz w:val="18"/>
                <w:szCs w:val="18"/>
              </w:rPr>
            </w:pPr>
          </w:p>
        </w:tc>
        <w:tc>
          <w:tcPr>
            <w:tcW w:w="543" w:type="dxa"/>
            <w:vAlign w:val="center"/>
          </w:tcPr>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商业</w:t>
            </w:r>
          </w:p>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企业</w:t>
            </w:r>
          </w:p>
        </w:tc>
        <w:tc>
          <w:tcPr>
            <w:tcW w:w="559" w:type="dxa"/>
            <w:vAlign w:val="center"/>
          </w:tcPr>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科研</w:t>
            </w:r>
          </w:p>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机构</w:t>
            </w:r>
          </w:p>
        </w:tc>
        <w:tc>
          <w:tcPr>
            <w:tcW w:w="532" w:type="dxa"/>
            <w:vAlign w:val="center"/>
          </w:tcPr>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社会</w:t>
            </w:r>
          </w:p>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公益</w:t>
            </w:r>
          </w:p>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组织</w:t>
            </w:r>
          </w:p>
        </w:tc>
        <w:tc>
          <w:tcPr>
            <w:tcW w:w="518" w:type="dxa"/>
            <w:vAlign w:val="center"/>
          </w:tcPr>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法律</w:t>
            </w:r>
          </w:p>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服务</w:t>
            </w:r>
          </w:p>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机构</w:t>
            </w:r>
          </w:p>
        </w:tc>
        <w:tc>
          <w:tcPr>
            <w:tcW w:w="532" w:type="dxa"/>
            <w:vAlign w:val="center"/>
          </w:tcPr>
          <w:p>
            <w:pPr>
              <w:ind w:left="-63" w:leftChars="-30" w:right="-63" w:rightChars="-30"/>
              <w:rPr>
                <w:rFonts w:hint="default" w:ascii="Times New Roman" w:hAnsi="Times New Roman" w:cs="Times New Roman"/>
                <w:szCs w:val="21"/>
              </w:rPr>
            </w:pPr>
            <w:r>
              <w:rPr>
                <w:rFonts w:hint="default" w:ascii="Times New Roman" w:hAnsi="Times New Roman" w:cs="Times New Roman"/>
                <w:szCs w:val="21"/>
              </w:rPr>
              <w:t>其他</w:t>
            </w:r>
          </w:p>
        </w:tc>
        <w:tc>
          <w:tcPr>
            <w:tcW w:w="850" w:type="dxa"/>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820" w:type="dxa"/>
            <w:gridSpan w:val="3"/>
            <w:vAlign w:val="center"/>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494"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c>
          <w:tcPr>
            <w:tcW w:w="532" w:type="dxa"/>
            <w:vAlign w:val="center"/>
          </w:tcPr>
          <w:p>
            <w:pPr>
              <w:rPr>
                <w:rFonts w:hint="default" w:ascii="Times New Roman" w:hAnsi="Times New Roman" w:cs="Times New Roman"/>
                <w:szCs w:val="21"/>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szCs w:val="21"/>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820" w:type="dxa"/>
            <w:gridSpan w:val="3"/>
            <w:vAlign w:val="center"/>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4253"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4253" w:type="dxa"/>
            <w:gridSpan w:val="2"/>
            <w:vAlign w:val="top"/>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top"/>
          </w:tcPr>
          <w:p>
            <w:pPr>
              <w:rPr>
                <w:rFonts w:hint="default" w:ascii="Times New Roman" w:hAnsi="Times New Roman" w:cs="Times New Roman"/>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top"/>
          </w:tcPr>
          <w:p>
            <w:pPr>
              <w:rPr>
                <w:rFonts w:hint="default" w:ascii="Times New Roman" w:hAnsi="Times New Roman" w:cs="Times New Roman"/>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top"/>
          </w:tcPr>
          <w:p>
            <w:pPr>
              <w:rPr>
                <w:rFonts w:hint="default" w:ascii="Times New Roman" w:hAnsi="Times New Roman" w:cs="Times New Roman"/>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1560" w:type="dxa"/>
            <w:vMerge w:val="continue"/>
            <w:vAlign w:val="top"/>
          </w:tcPr>
          <w:p>
            <w:pPr>
              <w:rPr>
                <w:rFonts w:hint="default" w:ascii="Times New Roman" w:hAnsi="Times New Roman" w:cs="Times New Roman"/>
              </w:rPr>
            </w:pPr>
          </w:p>
        </w:tc>
        <w:tc>
          <w:tcPr>
            <w:tcW w:w="2693" w:type="dxa"/>
            <w:vAlign w:val="center"/>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4253"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（六）其他处理</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67" w:type="dxa"/>
            <w:vMerge w:val="continue"/>
            <w:vAlign w:val="top"/>
          </w:tcPr>
          <w:p>
            <w:pPr>
              <w:rPr>
                <w:rFonts w:hint="default" w:ascii="Times New Roman" w:hAnsi="Times New Roman" w:cs="Times New Roman"/>
              </w:rPr>
            </w:pPr>
          </w:p>
        </w:tc>
        <w:tc>
          <w:tcPr>
            <w:tcW w:w="4253"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820" w:type="dxa"/>
            <w:gridSpan w:val="3"/>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494"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43"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59"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1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532"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c>
          <w:tcPr>
            <w:tcW w:w="850"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政府信息公开行政复议、行政诉讼情况</w:t>
      </w:r>
    </w:p>
    <w:tbl>
      <w:tblPr>
        <w:tblStyle w:val="5"/>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574"/>
        <w:gridCol w:w="574"/>
        <w:gridCol w:w="574"/>
        <w:gridCol w:w="594"/>
        <w:gridCol w:w="610"/>
        <w:gridCol w:w="574"/>
        <w:gridCol w:w="602"/>
        <w:gridCol w:w="574"/>
        <w:gridCol w:w="567"/>
        <w:gridCol w:w="664"/>
        <w:gridCol w:w="650"/>
        <w:gridCol w:w="651"/>
        <w:gridCol w:w="630"/>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912" w:type="dxa"/>
            <w:gridSpan w:val="5"/>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5947" w:type="dxa"/>
            <w:gridSpan w:val="10"/>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596" w:type="dxa"/>
            <w:vMerge w:val="restart"/>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结果</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维持</w:t>
            </w:r>
          </w:p>
        </w:tc>
        <w:tc>
          <w:tcPr>
            <w:tcW w:w="574" w:type="dxa"/>
            <w:vMerge w:val="restart"/>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结果</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纠正</w:t>
            </w:r>
          </w:p>
        </w:tc>
        <w:tc>
          <w:tcPr>
            <w:tcW w:w="574" w:type="dxa"/>
            <w:vMerge w:val="restart"/>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其他</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结果</w:t>
            </w:r>
          </w:p>
        </w:tc>
        <w:tc>
          <w:tcPr>
            <w:tcW w:w="574" w:type="dxa"/>
            <w:vMerge w:val="restart"/>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尚未</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审结</w:t>
            </w:r>
          </w:p>
        </w:tc>
        <w:tc>
          <w:tcPr>
            <w:tcW w:w="594" w:type="dxa"/>
            <w:vMerge w:val="restart"/>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总</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计</w:t>
            </w:r>
          </w:p>
        </w:tc>
        <w:tc>
          <w:tcPr>
            <w:tcW w:w="2927" w:type="dxa"/>
            <w:gridSpan w:val="5"/>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020" w:type="dxa"/>
            <w:gridSpan w:val="5"/>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6" w:type="dxa"/>
            <w:vMerge w:val="continue"/>
            <w:vAlign w:val="center"/>
          </w:tcPr>
          <w:p>
            <w:pPr>
              <w:ind w:left="-63" w:leftChars="-30" w:right="-63" w:rightChars="-30"/>
              <w:jc w:val="center"/>
              <w:rPr>
                <w:rFonts w:hint="default" w:ascii="Times New Roman" w:hAnsi="Times New Roman" w:cs="Times New Roman"/>
                <w:sz w:val="18"/>
                <w:szCs w:val="18"/>
              </w:rPr>
            </w:pPr>
          </w:p>
        </w:tc>
        <w:tc>
          <w:tcPr>
            <w:tcW w:w="574" w:type="dxa"/>
            <w:vMerge w:val="continue"/>
            <w:vAlign w:val="center"/>
          </w:tcPr>
          <w:p>
            <w:pPr>
              <w:ind w:left="-63" w:leftChars="-30" w:right="-63" w:rightChars="-30"/>
              <w:jc w:val="center"/>
              <w:rPr>
                <w:rFonts w:hint="default" w:ascii="Times New Roman" w:hAnsi="Times New Roman" w:cs="Times New Roman"/>
                <w:sz w:val="18"/>
                <w:szCs w:val="18"/>
              </w:rPr>
            </w:pPr>
          </w:p>
        </w:tc>
        <w:tc>
          <w:tcPr>
            <w:tcW w:w="574" w:type="dxa"/>
            <w:vMerge w:val="continue"/>
            <w:vAlign w:val="center"/>
          </w:tcPr>
          <w:p>
            <w:pPr>
              <w:ind w:left="-63" w:leftChars="-30" w:right="-63" w:rightChars="-30"/>
              <w:jc w:val="center"/>
              <w:rPr>
                <w:rFonts w:hint="default" w:ascii="Times New Roman" w:hAnsi="Times New Roman" w:cs="Times New Roman"/>
                <w:sz w:val="18"/>
                <w:szCs w:val="18"/>
              </w:rPr>
            </w:pPr>
          </w:p>
        </w:tc>
        <w:tc>
          <w:tcPr>
            <w:tcW w:w="574" w:type="dxa"/>
            <w:vMerge w:val="continue"/>
            <w:vAlign w:val="center"/>
          </w:tcPr>
          <w:p>
            <w:pPr>
              <w:ind w:left="-63" w:leftChars="-30" w:right="-63" w:rightChars="-30"/>
              <w:jc w:val="center"/>
              <w:rPr>
                <w:rFonts w:hint="default" w:ascii="Times New Roman" w:hAnsi="Times New Roman" w:cs="Times New Roman"/>
                <w:szCs w:val="21"/>
              </w:rPr>
            </w:pPr>
          </w:p>
        </w:tc>
        <w:tc>
          <w:tcPr>
            <w:tcW w:w="594" w:type="dxa"/>
            <w:vMerge w:val="continue"/>
            <w:vAlign w:val="center"/>
          </w:tcPr>
          <w:p>
            <w:pPr>
              <w:ind w:left="-63" w:leftChars="-30" w:right="-63" w:rightChars="-30"/>
              <w:jc w:val="center"/>
              <w:rPr>
                <w:rFonts w:hint="default" w:ascii="Times New Roman" w:hAnsi="Times New Roman" w:cs="Times New Roman"/>
                <w:szCs w:val="21"/>
              </w:rPr>
            </w:pPr>
          </w:p>
        </w:tc>
        <w:tc>
          <w:tcPr>
            <w:tcW w:w="610" w:type="dxa"/>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结果</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维持</w:t>
            </w:r>
          </w:p>
        </w:tc>
        <w:tc>
          <w:tcPr>
            <w:tcW w:w="574" w:type="dxa"/>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结果</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纠正</w:t>
            </w:r>
          </w:p>
        </w:tc>
        <w:tc>
          <w:tcPr>
            <w:tcW w:w="602" w:type="dxa"/>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其他</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结果</w:t>
            </w:r>
          </w:p>
        </w:tc>
        <w:tc>
          <w:tcPr>
            <w:tcW w:w="574" w:type="dxa"/>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尚未</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审结</w:t>
            </w:r>
          </w:p>
        </w:tc>
        <w:tc>
          <w:tcPr>
            <w:tcW w:w="567" w:type="dxa"/>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总</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计</w:t>
            </w:r>
          </w:p>
        </w:tc>
        <w:tc>
          <w:tcPr>
            <w:tcW w:w="664" w:type="dxa"/>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结果</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维持</w:t>
            </w:r>
          </w:p>
        </w:tc>
        <w:tc>
          <w:tcPr>
            <w:tcW w:w="650" w:type="dxa"/>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结果</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纠正</w:t>
            </w:r>
          </w:p>
        </w:tc>
        <w:tc>
          <w:tcPr>
            <w:tcW w:w="651" w:type="dxa"/>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其他</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结果</w:t>
            </w:r>
          </w:p>
        </w:tc>
        <w:tc>
          <w:tcPr>
            <w:tcW w:w="630" w:type="dxa"/>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尚未</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审结</w:t>
            </w:r>
          </w:p>
        </w:tc>
        <w:tc>
          <w:tcPr>
            <w:tcW w:w="425" w:type="dxa"/>
            <w:vAlign w:val="center"/>
          </w:tcPr>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总</w:t>
            </w:r>
          </w:p>
          <w:p>
            <w:pPr>
              <w:ind w:left="-63" w:leftChars="-30" w:right="-63" w:rightChars="-30"/>
              <w:jc w:val="center"/>
              <w:rPr>
                <w:rFonts w:hint="default" w:ascii="Times New Roman" w:hAnsi="Times New Roman" w:cs="Times New Roman"/>
                <w:szCs w:val="21"/>
              </w:rPr>
            </w:pPr>
            <w:r>
              <w:rPr>
                <w:rFonts w:hint="default" w:ascii="Times New Roman" w:hAnsi="Times New Roman" w:cs="Times New Roman"/>
                <w:szCs w:val="21"/>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596" w:type="dxa"/>
            <w:vAlign w:val="center"/>
          </w:tcPr>
          <w:p>
            <w:pPr>
              <w:ind w:left="-63" w:leftChars="-30" w:right="-63" w:rightChars="-30" w:firstLine="191"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574"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574"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574"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594"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10"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574"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02"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574"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567"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64"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50"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51"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30" w:type="dxa"/>
            <w:vAlign w:val="center"/>
          </w:tcPr>
          <w:p>
            <w:pPr>
              <w:ind w:left="-63" w:leftChars="-30" w:right="-63" w:rightChars="-30" w:firstLine="23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425" w:type="dxa"/>
            <w:vAlign w:val="center"/>
          </w:tcPr>
          <w:p>
            <w:pPr>
              <w:ind w:left="-63" w:leftChars="-30" w:right="-63" w:rightChars="-3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政府信息公开工作取得了一定进展和成效，但也存在一些差距和不足：一是公开工作队伍能力建设不够。经济社会快速发展和全面深化改革推向深入，对政府信息公开工作提出了更高更新的要求，但人员队伍建设不能满足形势发展需要，工作人员整体的专业化、理论化水平不够高，处理公开具体工作中复杂问题办法不多，一定程度上制约了政府信息公开工作的深入推进。二是部分信息公布不够及时，信息数量、质量亟待提升。2021年，我们将按照政府信息公开的相关要求，继续大力推进政府信息公开工作，主要是做好以下几方面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一是着力加强公开工作队伍建设。加强政府信息公开队伍建设，充实人员力量，保障必要的经费、设备等工作条件。制定业务培训计划，分级分层组织实施，切实提高人员队伍的综合素质和业务能力。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二是进一步健全和完善政府信息公开制度，加强督查和指导，切实增强公开意识和能力，积极主动回应关切，加强网民留言办理回复的及时性，做到在公开数量上有所提升、公开质量上有所优化。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没有其他需要报告的事项。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周村区文化和旅游局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2021年1月2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D9735A"/>
    <w:multiLevelType w:val="singleLevel"/>
    <w:tmpl w:val="E7D973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36B14"/>
    <w:rsid w:val="0072535F"/>
    <w:rsid w:val="10F660EA"/>
    <w:rsid w:val="16CA41BF"/>
    <w:rsid w:val="1BC963C8"/>
    <w:rsid w:val="20CA648F"/>
    <w:rsid w:val="21254618"/>
    <w:rsid w:val="240C0DC4"/>
    <w:rsid w:val="2F052F47"/>
    <w:rsid w:val="31687280"/>
    <w:rsid w:val="32236B14"/>
    <w:rsid w:val="506B29B5"/>
    <w:rsid w:val="51B962F3"/>
    <w:rsid w:val="561E4B34"/>
    <w:rsid w:val="5E0F156F"/>
    <w:rsid w:val="67DC1B2A"/>
    <w:rsid w:val="69296C38"/>
    <w:rsid w:val="70CC687A"/>
    <w:rsid w:val="7F504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1"/>
    <w:qFormat/>
    <w:uiPriority w:val="99"/>
    <w:pPr>
      <w:ind w:firstLine="20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2021-01-22T03:05:00Z</dcterms:created>
  <dc:creator>夏小凉</dc:creator>
  <cp:lastModifiedBy>Administrator</cp:lastModifiedBy>
  <dcterms:modified xsi:type="dcterms:W3CDTF">2022-01-13T02:47:47Z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