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华文中宋" w:hAnsi="华文中宋" w:eastAsia="华文中宋" w:cs="华文中宋"/>
          <w:sz w:val="44"/>
          <w:szCs w:val="44"/>
          <w:bdr w:val="none" w:color="auto" w:sz="0" w:space="0"/>
          <w:shd w:val="clear" w:fill="FFFFFF"/>
          <w:lang w:eastAsia="zh-CN"/>
        </w:rPr>
        <w:t>周村区住房和城乡建设</w:t>
      </w:r>
      <w:r>
        <w:rPr>
          <w:rFonts w:ascii="华文中宋" w:hAnsi="华文中宋" w:eastAsia="华文中宋" w:cs="华文中宋"/>
          <w:sz w:val="44"/>
          <w:szCs w:val="44"/>
          <w:bdr w:val="none" w:color="auto" w:sz="0" w:space="0"/>
          <w:shd w:val="clear" w:fill="FFFFFF"/>
        </w:rPr>
        <w:t>局行政指导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sz w:val="24"/>
          <w:szCs w:val="24"/>
        </w:rPr>
      </w:pPr>
      <w:r>
        <w:rPr>
          <w:rFonts w:ascii="华文中宋" w:hAnsi="华文中宋" w:eastAsia="华文中宋" w:cs="华文中宋"/>
          <w:sz w:val="44"/>
          <w:szCs w:val="44"/>
          <w:bdr w:val="none" w:color="auto" w:sz="0" w:space="0"/>
          <w:shd w:val="clear" w:fill="FFFFFF"/>
        </w:rPr>
        <w:t>工作实施方案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left"/>
        <w:textAlignment w:val="auto"/>
        <w:outlineLvl w:val="9"/>
        <w:rPr>
          <w:sz w:val="24"/>
          <w:szCs w:val="24"/>
        </w:rPr>
      </w:pPr>
      <w:r>
        <w:rPr>
          <w:rFonts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ascii="黑体" w:hAnsi="宋体" w:eastAsia="黑体" w:cs="黑体"/>
          <w:sz w:val="32"/>
          <w:szCs w:val="32"/>
          <w:bdr w:val="none" w:color="auto" w:sz="0" w:space="0"/>
          <w:shd w:val="clear" w:fill="FFFFFF"/>
        </w:rPr>
        <w:t>一、基本原则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（一）自愿原则。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实施行政指导应当以行政相对人自愿为前提，能够被当事人认可。不得采取强制或者变相强制等方式迫使行政相对人接受行政指导。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（二）合法原则。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行政指导的工作内容和实施方式应当在法定职责范围内进行，不得超越法定权限，违反法定程序，不得侵害行政相对人的合法权益。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（三）合理原则。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行政执法机关应当优先采取行政指导的方式实现管理目的，采取的方法应当必要、适当。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（四）公正公开原则。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行政执法机关实施行政指导的事项应当公开，对待行政相对人要一律平等。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（五）便民利民原则。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实施行政指导应当针对不同事项采取灵活多样的方法，为行政相对人提供优质便利服务。实施行政指导要兼顾社会效果和个人权益，做到既维护正常的经济社会管理秩序，又能使行政相对人受益。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（六）效能原则。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实施行政指导尽量做到简明高效，以最小的投入取得最大效益。将效率和效益作为衡量行政指导的标准，不得开展无实效或者无实质内容的行政指导，不得给行政相对人带来不必要的负担。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  <w:bdr w:val="none" w:color="auto" w:sz="0" w:space="0"/>
          <w:shd w:val="clear" w:fill="FFFFFF"/>
        </w:rPr>
        <w:t>二、工作要求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（一）参照《</w:t>
      </w:r>
      <w:r>
        <w:rPr>
          <w:rFonts w:hint="eastAsia" w:ascii="仿宋_GB2312" w:eastAsia="仿宋_GB2312" w:cs="仿宋_GB2312"/>
          <w:sz w:val="32"/>
          <w:szCs w:val="32"/>
          <w:bdr w:val="none" w:color="auto" w:sz="0" w:space="0"/>
          <w:shd w:val="clear" w:fill="FFFFFF"/>
          <w:lang w:eastAsia="zh-CN"/>
        </w:rPr>
        <w:t>周村区住建局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权责清单》，按照全领域覆盖的原则梳理编制行政指导事项目录清单，并在</w:t>
      </w:r>
      <w:r>
        <w:rPr>
          <w:rFonts w:hint="eastAsia" w:ascii="仿宋_GB2312" w:eastAsia="仿宋_GB2312" w:cs="仿宋_GB2312"/>
          <w:sz w:val="32"/>
          <w:szCs w:val="32"/>
          <w:bdr w:val="none" w:color="auto" w:sz="0" w:space="0"/>
          <w:shd w:val="clear" w:fill="FFFFFF"/>
          <w:lang w:eastAsia="zh-CN"/>
        </w:rPr>
        <w:t>区政府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网站向社会公开。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（二）将行政指导融入到行政执法全过程，贯穿在行政执法的事前、事中、事后各执法环节，做到行政指导在行政执法的全过程覆盖。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（三）加强对各执法科室办理的行政指导事项的合法性审查和备案工作。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（四）发挥信息资源和专业优势，在各自执法领域开展行政指导，做到善于使用行政指导开展工作。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  <w:bdr w:val="none" w:color="auto" w:sz="0" w:space="0"/>
          <w:shd w:val="clear" w:fill="FFFFFF"/>
        </w:rPr>
        <w:t>三、工作方式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ascii="楷体_GB2312" w:eastAsia="楷体_GB2312" w:cs="楷体_GB2312"/>
          <w:sz w:val="32"/>
          <w:szCs w:val="32"/>
          <w:bdr w:val="none" w:color="auto" w:sz="0" w:space="0"/>
          <w:shd w:val="clear" w:fill="FFFFFF"/>
        </w:rPr>
        <w:t>（一）政策指引。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利用掌握行业政策的优势，通过信息公开等对行政相对人进行引导，提供服务。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楷体_GB2312" w:eastAsia="楷体_GB2312" w:cs="楷体_GB2312"/>
          <w:sz w:val="32"/>
          <w:szCs w:val="32"/>
          <w:bdr w:val="none" w:color="auto" w:sz="0" w:space="0"/>
          <w:shd w:val="clear" w:fill="FFFFFF"/>
        </w:rPr>
        <w:t>（二）意见建议。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根据管理职能和专业知识，为行政相对人“出主意、提建议”，引导其合法经营，建立和完善各项管理制度，规范自身行为，促进健康发展。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楷体_GB2312" w:eastAsia="楷体_GB2312" w:cs="楷体_GB2312"/>
          <w:sz w:val="32"/>
          <w:szCs w:val="32"/>
          <w:bdr w:val="none" w:color="auto" w:sz="0" w:space="0"/>
          <w:shd w:val="clear" w:fill="FFFFFF"/>
        </w:rPr>
        <w:t>（三）提示提醒。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在执法检查过程中，对于行政相对人可能出现行政违法、民事侵权或者违约等问题的，可以制定行政指导意见书，提示其及时纠正。根据群众投诉举报情况和日常执法数据分析等，对某些时段、某些领域违法频率高或者可能发生违法行为等情形的，及时向行政相对人宣传、解释法律法规，告知管理要求，提示、提醒其按照法律规定和政策要求履行义务，加强自律，最大限度的减少违法违规行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楷体_GB2312" w:eastAsia="楷体_GB2312" w:cs="楷体_GB2312"/>
          <w:sz w:val="32"/>
          <w:szCs w:val="32"/>
          <w:bdr w:val="none" w:color="auto" w:sz="0" w:space="0"/>
          <w:shd w:val="clear" w:fill="FFFFFF"/>
        </w:rPr>
        <w:t>（四）劝导警示。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对违法情节轻微、无主观故意并及时纠正、没有造成危害后果的，根据本部门梳理的“不罚清单”，告知其立即纠正违法行为，规劝其承诺不再发生类似违法行为。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楷体_GB2312" w:eastAsia="楷体_GB2312" w:cs="楷体_GB2312"/>
          <w:sz w:val="32"/>
          <w:szCs w:val="32"/>
          <w:bdr w:val="none" w:color="auto" w:sz="0" w:space="0"/>
          <w:shd w:val="clear" w:fill="FFFFFF"/>
        </w:rPr>
        <w:t>（五）示范引领。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通过给予行政相对人表扬鼓励等，引导其从事某种特定活动，达到管理目的。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default" w:ascii="楷体_GB2312" w:eastAsia="楷体_GB2312" w:cs="楷体_GB2312"/>
          <w:sz w:val="32"/>
          <w:szCs w:val="32"/>
          <w:bdr w:val="none" w:color="auto" w:sz="0" w:space="0"/>
          <w:shd w:val="clear" w:fill="FFFFFF"/>
        </w:rPr>
        <w:t>（六）案件回访。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对重大执法案件或者在一定范围、一定领域具有普遍影响的案件，定期或者不定期地进行回访，指导整改。同时举一反三，发布典型案例，指导行政相对人自觉遵守法律法规。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  <w:bdr w:val="none" w:color="auto" w:sz="0" w:space="0"/>
          <w:shd w:val="clear" w:fill="FFFFFF"/>
        </w:rPr>
        <w:t>四、保障措施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（一）加强组织领导，健全制度体系。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要切实转变观念，提高认识，将行政指导作为加强管理的重要抓手</w:t>
      </w:r>
      <w:r>
        <w:rPr>
          <w:rFonts w:hint="default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。各执法科室主要负责人为第一责任人，应当全面推行行政指导工作。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（二）加大落实力度，稳步推进实施。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负责细化工作落实措施，做到行政指导具体化、规范化</w:t>
      </w:r>
      <w:r>
        <w:rPr>
          <w:rFonts w:hint="eastAsia" w:ascii="仿宋_GB2312" w:eastAsia="仿宋_GB2312" w:cs="仿宋_GB2312"/>
          <w:sz w:val="32"/>
          <w:szCs w:val="32"/>
          <w:bdr w:val="none" w:color="auto" w:sz="0" w:space="0"/>
          <w:shd w:val="clear" w:fill="FFFFFF"/>
          <w:lang w:eastAsia="zh-CN"/>
        </w:rPr>
        <w:t>，</w:t>
      </w:r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要避免用行政指导代替行政执法，造成行政不作为或乱作为；要注意行政指导的合法适当，避免因行政指导产生行政纠纷，实现行政指导与规范执法的高度和谐。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sz w:val="24"/>
          <w:szCs w:val="24"/>
        </w:rPr>
      </w:pPr>
      <w:r>
        <w:rPr>
          <w:rFonts w:hint="eastAsia" w:ascii="楷体" w:hAnsi="楷体" w:eastAsia="楷体" w:cs="楷体"/>
          <w:sz w:val="32"/>
          <w:szCs w:val="32"/>
          <w:bdr w:val="none" w:color="auto" w:sz="0" w:space="0"/>
          <w:shd w:val="clear" w:fill="FFFFFF"/>
        </w:rPr>
        <w:t>（三）积极探索创新，务求工作实效。</w:t>
      </w:r>
      <w:bookmarkStart w:id="0" w:name="_GoBack"/>
      <w:bookmarkEnd w:id="0"/>
      <w:r>
        <w:rPr>
          <w:rFonts w:hint="default" w:ascii="仿宋_GB2312" w:eastAsia="仿宋_GB2312" w:cs="仿宋_GB2312"/>
          <w:sz w:val="32"/>
          <w:szCs w:val="32"/>
          <w:bdr w:val="none" w:color="auto" w:sz="0" w:space="0"/>
          <w:shd w:val="clear" w:fill="FFFFFF"/>
        </w:rPr>
        <w:t>要积极探索开展行政指导的有效途径，创新工作思路，逐步完善行政指导工作机制。要加强学习培训，确保执法人员准确把握行政指导的原则要求和方式方法，提高工作质效。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4620"/>
    <w:rsid w:val="6A2346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</w:rPr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000FF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Courier New" w:hAnsi="Courier New"/>
      <w:sz w:val="20"/>
    </w:rPr>
  </w:style>
  <w:style w:type="character" w:styleId="13">
    <w:name w:val="HTML Sample"/>
    <w:basedOn w:val="3"/>
    <w:uiPriority w:val="0"/>
    <w:rPr>
      <w:rFonts w:ascii="Courier New" w:hAnsi="Courier New"/>
    </w:rPr>
  </w:style>
  <w:style w:type="character" w:customStyle="1" w:styleId="15">
    <w:name w:val="hover9"/>
    <w:basedOn w:val="3"/>
    <w:uiPriority w:val="0"/>
    <w:rPr>
      <w:color w:val="245399"/>
    </w:rPr>
  </w:style>
  <w:style w:type="character" w:customStyle="1" w:styleId="16">
    <w:name w:val="hover10"/>
    <w:basedOn w:val="3"/>
    <w:uiPriority w:val="0"/>
    <w:rPr>
      <w:color w:val="245399"/>
    </w:rPr>
  </w:style>
  <w:style w:type="character" w:customStyle="1" w:styleId="17">
    <w:name w:val="hover11"/>
    <w:basedOn w:val="3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2021-09-24T01:04:00Z</dcterms:created>
  <dc:creator>Administrator</dc:creator>
  <cp:lastModifiedBy>Administrator</cp:lastModifiedBy>
  <dcterms:modified xsi:type="dcterms:W3CDTF">2021-09-24T01:25:12Z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